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61907">
      <w:pPr>
        <w:spacing w:before="480" w:after="360" w:line="240" w:lineRule="auto"/>
        <w:jc w:val="center"/>
        <w:rPr>
          <w:rFonts w:ascii="Times New Roman" w:hAnsi="Times New Roman" w:eastAsia="宋体"/>
          <w:b/>
          <w:sz w:val="44"/>
          <w:szCs w:val="44"/>
        </w:rPr>
      </w:pPr>
      <w:r>
        <w:rPr>
          <w:rFonts w:ascii="Times New Roman" w:hAnsi="Times New Roman" w:eastAsia="宋体"/>
          <w:b/>
          <w:sz w:val="44"/>
          <w:szCs w:val="44"/>
        </w:rPr>
        <w:t>数字化转型下A医药集团互联网医院</w:t>
      </w:r>
    </w:p>
    <w:p w14:paraId="4F1285E3">
      <w:pPr>
        <w:spacing w:before="480" w:after="360" w:line="240" w:lineRule="auto"/>
        <w:jc w:val="center"/>
        <w:rPr>
          <w:rFonts w:ascii="Times New Roman" w:hAnsi="Times New Roman" w:eastAsia="黑体"/>
          <w:b/>
          <w:sz w:val="36"/>
        </w:rPr>
      </w:pPr>
      <w:r>
        <w:rPr>
          <w:rFonts w:ascii="Times New Roman" w:hAnsi="Times New Roman" w:eastAsia="宋体"/>
          <w:b/>
          <w:sz w:val="44"/>
          <w:szCs w:val="44"/>
        </w:rPr>
        <w:t>服务流程优化研究</w:t>
      </w:r>
    </w:p>
    <w:p w14:paraId="30122979">
      <w:pPr>
        <w:spacing w:before="480" w:after="360" w:line="240" w:lineRule="auto"/>
        <w:jc w:val="center"/>
      </w:pPr>
      <w:r>
        <w:rPr>
          <w:rFonts w:ascii="Times New Roman" w:hAnsi="Times New Roman" w:eastAsia="黑体"/>
          <w:b/>
          <w:sz w:val="36"/>
        </w:rPr>
        <w:t>摘要</w:t>
      </w:r>
    </w:p>
    <w:p w14:paraId="223C6985">
      <w:pPr>
        <w:spacing w:before="0" w:after="0" w:line="400" w:lineRule="exact"/>
        <w:ind w:firstLine="480"/>
        <w:jc w:val="both"/>
        <w:rPr>
          <w:rFonts w:hint="eastAsia" w:eastAsia="宋体"/>
          <w:lang w:val="en-US" w:eastAsia="zh-CN"/>
        </w:rPr>
      </w:pPr>
      <w:commentRangeStart w:id="0"/>
      <w:r>
        <w:rPr>
          <w:rFonts w:ascii="Times New Roman" w:hAnsi="Times New Roman" w:eastAsia="宋体"/>
          <w:b w:val="0"/>
          <w:sz w:val="24"/>
          <w:highlight w:val="yellow"/>
        </w:rPr>
        <w:t>在数字经济与医疗健康产业深度融合的背景下，互联网医院作为</w:t>
      </w:r>
      <w:r>
        <w:rPr>
          <w:rFonts w:hint="eastAsia" w:ascii="Times New Roman" w:hAnsi="Times New Roman"/>
          <w:b w:val="0"/>
          <w:sz w:val="24"/>
          <w:highlight w:val="yellow"/>
          <w:lang w:eastAsia="zh-CN"/>
        </w:rPr>
        <w:t>“</w:t>
      </w:r>
      <w:r>
        <w:rPr>
          <w:rFonts w:ascii="Times New Roman" w:hAnsi="Times New Roman" w:eastAsia="宋体"/>
          <w:b w:val="0"/>
          <w:sz w:val="24"/>
          <w:highlight w:val="yellow"/>
        </w:rPr>
        <w:t>互联网+医疗健康</w:t>
      </w:r>
      <w:r>
        <w:rPr>
          <w:rFonts w:hint="eastAsia" w:ascii="Times New Roman" w:hAnsi="Times New Roman"/>
          <w:b w:val="0"/>
          <w:sz w:val="24"/>
          <w:highlight w:val="yellow"/>
          <w:lang w:eastAsia="zh-CN"/>
        </w:rPr>
        <w:t>”</w:t>
      </w:r>
      <w:r>
        <w:rPr>
          <w:rFonts w:ascii="Times New Roman" w:hAnsi="Times New Roman" w:eastAsia="宋体"/>
          <w:b w:val="0"/>
          <w:sz w:val="24"/>
          <w:highlight w:val="yellow"/>
        </w:rPr>
        <w:t>的新型服务形态发展迅速，但线上线下服务流程衔接不畅、多院区协同不足、运营数据利用水平偏低等问题，制约了其服务价值的充分释放：问诊可以在手机上完成，检查、取药却仍要回到线下，各院区各有一套系统，数据沉睡在平台里，很少被用来反观流程本身。如何在数字化转型背景下</w:t>
      </w:r>
      <w:r>
        <w:rPr>
          <w:rFonts w:hint="eastAsia" w:ascii="Times New Roman" w:hAnsi="Times New Roman"/>
          <w:b w:val="0"/>
          <w:sz w:val="24"/>
          <w:highlight w:val="yellow"/>
          <w:lang w:eastAsia="zh-CN"/>
        </w:rPr>
        <w:t>，</w:t>
      </w:r>
      <w:r>
        <w:rPr>
          <w:rFonts w:ascii="Times New Roman" w:hAnsi="Times New Roman" w:eastAsia="宋体"/>
          <w:b w:val="0"/>
          <w:sz w:val="24"/>
          <w:highlight w:val="yellow"/>
        </w:rPr>
        <w:t>诊断并优化互联网医院的服务流程，成为医疗集团亟待解决的现实课题。</w:t>
      </w:r>
      <w:commentRangeEnd w:id="0"/>
      <w:r>
        <w:commentReference w:id="0"/>
      </w:r>
      <w:r>
        <w:rPr>
          <w:rFonts w:hint="eastAsia" w:ascii="Times New Roman" w:hAnsi="Times New Roman"/>
          <w:b w:val="0"/>
          <w:sz w:val="24"/>
          <w:lang w:val="en-US" w:eastAsia="zh-CN"/>
        </w:rPr>
        <w:t xml:space="preserve"> </w:t>
      </w:r>
    </w:p>
    <w:p w14:paraId="2D74DE13">
      <w:pPr>
        <w:spacing w:before="0" w:after="0" w:line="400" w:lineRule="exact"/>
        <w:ind w:firstLine="480"/>
        <w:jc w:val="both"/>
      </w:pPr>
      <w:r>
        <w:rPr>
          <w:rFonts w:ascii="Times New Roman" w:hAnsi="Times New Roman" w:eastAsia="宋体"/>
          <w:b w:val="0"/>
          <w:sz w:val="24"/>
        </w:rPr>
        <w:t>本文以A医药集团互联网医院为样本，按</w:t>
      </w:r>
      <w:r>
        <w:rPr>
          <w:rFonts w:hint="eastAsia" w:ascii="Times New Roman" w:hAnsi="Times New Roman"/>
          <w:b w:val="0"/>
          <w:sz w:val="24"/>
          <w:lang w:eastAsia="zh-CN"/>
        </w:rPr>
        <w:t>“</w:t>
      </w:r>
      <w:r>
        <w:rPr>
          <w:rFonts w:ascii="Times New Roman" w:hAnsi="Times New Roman" w:eastAsia="宋体"/>
          <w:b w:val="0"/>
          <w:sz w:val="24"/>
        </w:rPr>
        <w:t>诊断→排序→设计→验证</w:t>
      </w:r>
      <w:r>
        <w:rPr>
          <w:rFonts w:hint="eastAsia" w:ascii="Times New Roman" w:hAnsi="Times New Roman"/>
          <w:b w:val="0"/>
          <w:sz w:val="24"/>
          <w:lang w:eastAsia="zh-CN"/>
        </w:rPr>
        <w:t>”</w:t>
      </w:r>
      <w:r>
        <w:rPr>
          <w:rFonts w:ascii="Times New Roman" w:hAnsi="Times New Roman" w:eastAsia="宋体"/>
          <w:b w:val="0"/>
          <w:sz w:val="24"/>
        </w:rPr>
        <w:t>的顺序展开。平台4年积累的一千余万条事件日志，为流程级诊断提供了难得的数据基础。诊断环节用过程分析法（Process Mining）从日志中还原真实流程，把断点定位到电子处方到线下检查、检查结果到复诊、药品配送</w:t>
      </w:r>
      <w:r>
        <w:rPr>
          <w:rFonts w:hint="eastAsia" w:ascii="Times New Roman" w:hAnsi="Times New Roman"/>
          <w:b w:val="0"/>
          <w:sz w:val="24"/>
          <w:lang w:eastAsia="zh-CN"/>
        </w:rPr>
        <w:t>“最后一公里”</w:t>
      </w:r>
      <w:r>
        <w:rPr>
          <w:rFonts w:ascii="Times New Roman" w:hAnsi="Times New Roman" w:eastAsia="宋体"/>
          <w:b w:val="0"/>
          <w:sz w:val="24"/>
        </w:rPr>
        <w:t>三处衔接上，并逐环节量化等待、波动与返工；排序环节以影响严重程度、改造成本、实施难度、预期效果、患者影响五个准则构建AHP评价模型，经一致性检验排出瓶颈的改进先后；设计环节借助服务蓝图，把现状流程拆到患者行为、后台操作、系统支持三层，逐一嵌入线上线下一体化流程再造、多院区协同机制、数据驱动智能质控三组方案；验证环节以医院A为实验组、医院B为对照组开展试点，用双重差分（DID）估计方案的净效果，再以AHP综合评分给整体效果打分。</w:t>
      </w:r>
    </w:p>
    <w:p w14:paraId="7A4B14A7">
      <w:pPr>
        <w:spacing w:before="0" w:after="0" w:line="400" w:lineRule="exact"/>
        <w:ind w:firstLine="480"/>
        <w:jc w:val="both"/>
      </w:pPr>
      <w:r>
        <w:rPr>
          <w:rFonts w:ascii="Times New Roman" w:hAnsi="Times New Roman" w:eastAsia="宋体"/>
          <w:b w:val="0"/>
          <w:sz w:val="24"/>
          <w:highlight w:val="yellow"/>
        </w:rPr>
        <w:t>研究结果表明：（1）试点院区优化后，平均接诊等待时间下降32.5%，处方审核耗时下降26.2%，检查预约到完成周期缩短29.1%，处方到取药完成耗时减少33.4%，流程返工率下降2.3个百分点；（2）患者整体满意度由3.8分提升至4.3分，主动投诉率由2.8%降至1.5%，药品配送到家选择率由23%提升至31%；（3）对照组各指标变化幅度均在3%以内</w:t>
      </w:r>
      <w:r>
        <w:rPr>
          <w:rFonts w:ascii="Times New Roman" w:hAnsi="Times New Roman" w:eastAsia="宋体"/>
          <w:b w:val="0"/>
          <w:sz w:val="24"/>
        </w:rPr>
        <w:t>，DID净效果显著，表明指标改善确系优化方案的净效应；（4）基于AHP的优化效果综合评分显示，方案在瓶颈消除度与预期效果达成度两个维度改善最为突出，验证了</w:t>
      </w:r>
      <w:r>
        <w:rPr>
          <w:rFonts w:hint="eastAsia" w:ascii="Times New Roman" w:hAnsi="Times New Roman"/>
          <w:b w:val="0"/>
          <w:sz w:val="24"/>
          <w:lang w:eastAsia="zh-CN"/>
        </w:rPr>
        <w:t>“</w:t>
      </w:r>
      <w:r>
        <w:rPr>
          <w:rFonts w:ascii="Times New Roman" w:hAnsi="Times New Roman" w:eastAsia="宋体"/>
          <w:b w:val="0"/>
          <w:sz w:val="24"/>
        </w:rPr>
        <w:t>过程分析法+AHP+服务蓝图</w:t>
      </w:r>
      <w:r>
        <w:rPr>
          <w:rFonts w:hint="eastAsia" w:ascii="Times New Roman" w:hAnsi="Times New Roman"/>
          <w:b w:val="0"/>
          <w:sz w:val="24"/>
          <w:lang w:eastAsia="zh-CN"/>
        </w:rPr>
        <w:t>”</w:t>
      </w:r>
      <w:r>
        <w:rPr>
          <w:rFonts w:ascii="Times New Roman" w:hAnsi="Times New Roman" w:eastAsia="宋体"/>
          <w:b w:val="0"/>
          <w:sz w:val="24"/>
        </w:rPr>
        <w:t>整合方法论在多院区互联网医院流程优化中的有效性与可推广性。</w:t>
      </w:r>
    </w:p>
    <w:p w14:paraId="0F9A21D1">
      <w:pPr>
        <w:spacing w:before="0" w:after="0" w:line="400" w:lineRule="exact"/>
        <w:ind w:firstLine="480"/>
        <w:jc w:val="both"/>
      </w:pPr>
      <w:r>
        <w:rPr>
          <w:rFonts w:ascii="Times New Roman" w:hAnsi="Times New Roman" w:eastAsia="宋体"/>
          <w:b w:val="0"/>
          <w:sz w:val="24"/>
        </w:rPr>
        <w:t>方法上，本文把过程分析带进了</w:t>
      </w:r>
      <w:r>
        <w:rPr>
          <w:rFonts w:hint="eastAsia" w:ascii="Times New Roman" w:hAnsi="Times New Roman"/>
          <w:b w:val="0"/>
          <w:sz w:val="24"/>
          <w:lang w:eastAsia="zh-CN"/>
        </w:rPr>
        <w:t>“</w:t>
      </w:r>
      <w:r>
        <w:rPr>
          <w:rFonts w:ascii="Times New Roman" w:hAnsi="Times New Roman" w:eastAsia="宋体"/>
          <w:b w:val="0"/>
          <w:sz w:val="24"/>
        </w:rPr>
        <w:t>线上线下一体化+多院区协同</w:t>
      </w:r>
      <w:r>
        <w:rPr>
          <w:rFonts w:hint="eastAsia" w:ascii="Times New Roman" w:hAnsi="Times New Roman"/>
          <w:b w:val="0"/>
          <w:sz w:val="24"/>
          <w:lang w:eastAsia="zh-CN"/>
        </w:rPr>
        <w:t>”</w:t>
      </w:r>
      <w:r>
        <w:rPr>
          <w:rFonts w:ascii="Times New Roman" w:hAnsi="Times New Roman" w:eastAsia="宋体"/>
          <w:b w:val="0"/>
          <w:sz w:val="24"/>
        </w:rPr>
        <w:t>这一混合场景，弥补了既有研究偏重单一院区或单一方法的不足；对医药集团而言，</w:t>
      </w:r>
      <w:r>
        <w:rPr>
          <w:rFonts w:hint="eastAsia" w:ascii="Times New Roman" w:hAnsi="Times New Roman"/>
          <w:b w:val="0"/>
          <w:sz w:val="24"/>
          <w:lang w:eastAsia="zh-CN"/>
        </w:rPr>
        <w:t>“</w:t>
      </w:r>
      <w:r>
        <w:rPr>
          <w:rFonts w:ascii="Times New Roman" w:hAnsi="Times New Roman" w:eastAsia="宋体"/>
          <w:b w:val="0"/>
          <w:sz w:val="24"/>
        </w:rPr>
        <w:t>诊断→排序→设计→验证</w:t>
      </w:r>
      <w:r>
        <w:rPr>
          <w:rFonts w:hint="eastAsia" w:ascii="Times New Roman" w:hAnsi="Times New Roman"/>
          <w:b w:val="0"/>
          <w:sz w:val="24"/>
          <w:lang w:eastAsia="zh-CN"/>
        </w:rPr>
        <w:t>”</w:t>
      </w:r>
      <w:r>
        <w:rPr>
          <w:rFonts w:ascii="Times New Roman" w:hAnsi="Times New Roman" w:eastAsia="宋体"/>
          <w:b w:val="0"/>
          <w:sz w:val="24"/>
        </w:rPr>
        <w:t>这条路径可以整套复用，同类医疗机构的数字化转型也能从中找到参照。</w:t>
      </w:r>
    </w:p>
    <w:p w14:paraId="793614D0">
      <w:pPr>
        <w:spacing w:before="0" w:after="0" w:line="400" w:lineRule="exact"/>
        <w:ind w:firstLine="480"/>
      </w:pPr>
      <w:r>
        <w:rPr>
          <w:rFonts w:ascii="Times New Roman" w:hAnsi="Times New Roman" w:eastAsia="宋体"/>
          <w:b/>
          <w:sz w:val="24"/>
        </w:rPr>
        <w:t xml:space="preserve">关键词：  </w:t>
      </w:r>
      <w:r>
        <w:rPr>
          <w:rFonts w:ascii="Times New Roman" w:hAnsi="Times New Roman" w:eastAsia="宋体"/>
          <w:b w:val="0"/>
          <w:sz w:val="24"/>
        </w:rPr>
        <w:t>互联网医院；服务流程优化；过程分析法；层次分析法；服务蓝图；数字化转型</w:t>
      </w:r>
    </w:p>
    <w:p w14:paraId="23A6EE90">
      <w:pPr>
        <w:spacing w:before="480" w:after="360" w:line="240" w:lineRule="auto"/>
        <w:jc w:val="center"/>
      </w:pPr>
      <w:r>
        <w:rPr>
          <w:rFonts w:ascii="Arial" w:hAnsi="Arial" w:eastAsia="Arial"/>
          <w:b/>
          <w:sz w:val="36"/>
        </w:rPr>
        <w:t>Abstract</w:t>
      </w:r>
    </w:p>
    <w:p w14:paraId="41378775">
      <w:pPr>
        <w:spacing w:before="0" w:after="0" w:line="400" w:lineRule="exact"/>
        <w:ind w:firstLine="480"/>
        <w:jc w:val="both"/>
        <w:rPr>
          <w:highlight w:val="yellow"/>
        </w:rPr>
      </w:pPr>
      <w:r>
        <w:rPr>
          <w:rFonts w:ascii="Times New Roman" w:hAnsi="Times New Roman" w:eastAsia="宋体"/>
          <w:b w:val="0"/>
          <w:sz w:val="24"/>
          <w:highlight w:val="yellow"/>
        </w:rPr>
        <w:t>Against the backdrop of the deep integration of the digital economy and the healthcare industry, internet hospitals, as an emerging form of "Internet + healthcare" services, have developed rapidly. However, problems such as disconnection between online and offline service processes, insufficient multi-campus collaboration, and underutilization of operational data have constrained the full realization of their service value. How to diagnose and optimize the service processes of internet hospitals in a data-driven manner under digital transformation has become a pressing practical issue for healthcare groups.</w:t>
      </w:r>
    </w:p>
    <w:p w14:paraId="1164D208">
      <w:pPr>
        <w:spacing w:before="0" w:after="0" w:line="400" w:lineRule="exact"/>
        <w:ind w:firstLine="480"/>
        <w:jc w:val="both"/>
      </w:pPr>
      <w:r>
        <w:rPr>
          <w:rFonts w:ascii="Times New Roman" w:hAnsi="Times New Roman" w:eastAsia="宋体"/>
          <w:b w:val="0"/>
          <w:sz w:val="24"/>
        </w:rPr>
        <w:t>Taking the internet hospital of Pharmaceutical Group A as the research object, this thesis addresses three core research questions: where the online-offline process breakpoints are, which bottlenecks should be optimized first, and how to design optimization schemes and scientifically verify their effects. An integrated methodological framework of "diagnosis-evaluation-optimization-verification" is constructed. First, Process Mining is applied to over 10 million operational event logs accumulated by the platform over four years for process discovery and quantitative diagnosis, identifying three categories of key process breakpoints (electronic prescription to offline examination, examination results to follow-up consultation, and the last-mile drug delivery) as well as multi-campus collaboration obstacles, and quantitatively characterizing waiting times, flow variability and rework patterns of each process stage. Second, an AHP-based bottleneck prioritization model is built with five criteria, namely severity of impact, modification cost, implementation difficulty, expected effect and patient impact, and the improvement priority of bottleneck stages is determined through pairwise comparison matrices and consistency tests. Third, service blueprinting is employed to systematically map the current as-is process across the customer action, frontstage interaction, backstage operation and support process layers, and three optimization schemes are designed: online-offline integrated process reengineering, multi-campus collaboration mechanisms, and a data-driven intelligent quality control system, with both as-is and to-be service blueprints developed. Finally, a quasi-experimental design is adopted, with Hospital A as the treatment group and Hospital B as the control group, and a difference-in-differences (DID) analysis is conducted to verify the net effect of the optimization, complemented by an AHP-based comprehensive effect evaluation.</w:t>
      </w:r>
    </w:p>
    <w:p w14:paraId="10F90F46">
      <w:pPr>
        <w:spacing w:before="0" w:after="0" w:line="400" w:lineRule="exact"/>
        <w:ind w:firstLine="480"/>
        <w:jc w:val="both"/>
      </w:pPr>
      <w:r>
        <w:rPr>
          <w:rFonts w:ascii="Times New Roman" w:hAnsi="Times New Roman" w:eastAsia="宋体"/>
          <w:b w:val="0"/>
          <w:sz w:val="24"/>
        </w:rPr>
        <w:t>The results show that: (1) after optimization in the pilot campus, the average consultation waiting time decreased by 32.5%, prescription review time decreased by 26.2%, the cycle from examination appointment to completion was shortened by 29.1%, the time from prescription to drug pickup was reduced by 33.4%, and the process rework rate dropped by 2.3 percentage points; (2) overall patient satisfaction increased from 3.8 to 4.3 on a five-point scale, the proactive complaint rate decreased from 2.8% to 1.5%, and the home-delivery choice rate for drugs rose from 23% to 31%; (3) changes in all indicators of the control group remained within 3%, and the DID net effect was significant, indicating that the improvements were attributable to the optimization scheme; (4) the AHP-based comprehensive evaluation shows that the scheme achieved the most prominent improvements in bottleneck elimination and expected-effect attainment, validating the effectiveness and generalizability of the integrated "Process Mining + AHP + Service Blueprinting" methodology for multi-campus internet hospital process optimization.</w:t>
      </w:r>
    </w:p>
    <w:p w14:paraId="30B29367">
      <w:pPr>
        <w:spacing w:before="0" w:after="0" w:line="400" w:lineRule="exact"/>
        <w:ind w:firstLine="480"/>
        <w:jc w:val="both"/>
      </w:pPr>
      <w:r>
        <w:rPr>
          <w:rFonts w:ascii="Times New Roman" w:hAnsi="Times New Roman" w:eastAsia="宋体"/>
          <w:b w:val="0"/>
          <w:sz w:val="24"/>
        </w:rPr>
        <w:t>This thesis contributes methodologically by constructing a closed loop of data-driven service process optimization and extending the application boundary of process mining to the hybrid service scenario of "online-offline integration plus multi-campus collaboration". Practically, it provides a replicable optimization path and decision-making basis for the operation management of pharmaceutical groups' internet hospitals, offering references for the digital transformation of similar healthcare institutions.</w:t>
      </w:r>
    </w:p>
    <w:p w14:paraId="36202F96">
      <w:pPr>
        <w:spacing w:before="0" w:after="0" w:line="400" w:lineRule="exact"/>
        <w:ind w:firstLine="480"/>
      </w:pPr>
      <w:r>
        <w:rPr>
          <w:rFonts w:ascii="Times New Roman" w:hAnsi="Times New Roman" w:eastAsia="宋体"/>
          <w:b/>
          <w:sz w:val="24"/>
        </w:rPr>
        <w:t xml:space="preserve">Keywords:  </w:t>
      </w:r>
      <w:r>
        <w:rPr>
          <w:rFonts w:ascii="Times New Roman" w:hAnsi="Times New Roman" w:eastAsia="宋体"/>
          <w:b w:val="0"/>
          <w:sz w:val="24"/>
        </w:rPr>
        <w:t>Internet Hospital; Service Process Optimization; Process Mining; Analytic Hierarchy Process; Service Blueprinting; Digital Transformation</w:t>
      </w:r>
    </w:p>
    <w:p w14:paraId="7E19BE3F">
      <w:r>
        <w:br w:type="page"/>
      </w:r>
    </w:p>
    <w:sdt>
      <w:sdtPr>
        <w:rPr>
          <w:rFonts w:ascii="宋体" w:hAnsi="宋体" w:eastAsia="宋体" w:cstheme="minorBidi"/>
          <w:sz w:val="21"/>
          <w:szCs w:val="22"/>
          <w:lang w:val="en-US" w:eastAsia="en-US" w:bidi="ar-SA"/>
        </w:rPr>
        <w:id w:val="147453219"/>
        <w15:color w:val="DBDBDB"/>
        <w:docPartObj>
          <w:docPartGallery w:val="Table of Contents"/>
          <w:docPartUnique/>
        </w:docPartObj>
      </w:sdtPr>
      <w:sdtEndPr>
        <w:rPr>
          <w:rFonts w:ascii="宋体" w:hAnsi="宋体" w:eastAsia="宋体" w:cstheme="minorBidi"/>
          <w:sz w:val="21"/>
          <w:szCs w:val="22"/>
          <w:lang w:val="en-US" w:eastAsia="en-US" w:bidi="ar-SA"/>
        </w:rPr>
      </w:sdtEndPr>
      <w:sdtContent>
        <w:p w14:paraId="0F6AC490">
          <w:pPr>
            <w:spacing w:before="0" w:beforeLines="0" w:after="0" w:afterLines="0" w:line="240" w:lineRule="auto"/>
            <w:ind w:left="0" w:leftChars="0" w:right="0" w:rightChars="0" w:firstLine="0" w:firstLineChars="0"/>
            <w:jc w:val="center"/>
          </w:pPr>
          <w:r>
            <w:rPr>
              <w:rFonts w:ascii="宋体" w:hAnsi="宋体" w:eastAsia="宋体"/>
              <w:sz w:val="21"/>
            </w:rPr>
            <w:t>目录</w:t>
          </w:r>
        </w:p>
        <w:p w14:paraId="37B5FD99">
          <w:pPr>
            <w:pStyle w:val="28"/>
            <w:tabs>
              <w:tab w:val="right" w:leader="dot" w:pos="8612"/>
            </w:tabs>
          </w:pPr>
          <w:r>
            <w:fldChar w:fldCharType="begin"/>
          </w:r>
          <w:r>
            <w:instrText xml:space="preserve">TOC \o "1-3" \h \u </w:instrText>
          </w:r>
          <w:r>
            <w:fldChar w:fldCharType="separate"/>
          </w:r>
          <w:r>
            <w:fldChar w:fldCharType="begin"/>
          </w:r>
          <w:r>
            <w:instrText xml:space="preserve"> HYPERLINK \l _Toc12881 </w:instrText>
          </w:r>
          <w:r>
            <w:fldChar w:fldCharType="separate"/>
          </w:r>
          <w:r>
            <w:rPr>
              <w:rFonts w:ascii="Times New Roman" w:hAnsi="Times New Roman" w:eastAsia="黑体"/>
            </w:rPr>
            <w:t>第一章　绪论</w:t>
          </w:r>
          <w:r>
            <w:tab/>
          </w:r>
          <w:r>
            <w:fldChar w:fldCharType="begin"/>
          </w:r>
          <w:r>
            <w:instrText xml:space="preserve"> PAGEREF _Toc12881 \h </w:instrText>
          </w:r>
          <w:r>
            <w:fldChar w:fldCharType="separate"/>
          </w:r>
          <w:r>
            <w:t>8</w:t>
          </w:r>
          <w:r>
            <w:fldChar w:fldCharType="end"/>
          </w:r>
          <w:r>
            <w:fldChar w:fldCharType="end"/>
          </w:r>
        </w:p>
        <w:p w14:paraId="5E60FBFC">
          <w:pPr>
            <w:pStyle w:val="31"/>
            <w:tabs>
              <w:tab w:val="right" w:leader="dot" w:pos="8612"/>
            </w:tabs>
          </w:pPr>
          <w:r>
            <w:fldChar w:fldCharType="begin"/>
          </w:r>
          <w:r>
            <w:instrText xml:space="preserve"> HYPERLINK \l _Toc29610 </w:instrText>
          </w:r>
          <w:r>
            <w:fldChar w:fldCharType="separate"/>
          </w:r>
          <w:r>
            <w:rPr>
              <w:rFonts w:ascii="Times New Roman" w:hAnsi="Times New Roman" w:eastAsia="黑体"/>
            </w:rPr>
            <w:t>第一节　研究背景</w:t>
          </w:r>
          <w:r>
            <w:tab/>
          </w:r>
          <w:r>
            <w:fldChar w:fldCharType="begin"/>
          </w:r>
          <w:r>
            <w:instrText xml:space="preserve"> PAGEREF _Toc29610 \h </w:instrText>
          </w:r>
          <w:r>
            <w:fldChar w:fldCharType="separate"/>
          </w:r>
          <w:r>
            <w:t>8</w:t>
          </w:r>
          <w:r>
            <w:fldChar w:fldCharType="end"/>
          </w:r>
          <w:r>
            <w:fldChar w:fldCharType="end"/>
          </w:r>
        </w:p>
        <w:p w14:paraId="564E6441">
          <w:pPr>
            <w:pStyle w:val="25"/>
            <w:tabs>
              <w:tab w:val="right" w:leader="dot" w:pos="8612"/>
            </w:tabs>
          </w:pPr>
          <w:r>
            <w:fldChar w:fldCharType="begin"/>
          </w:r>
          <w:r>
            <w:instrText xml:space="preserve"> HYPERLINK \l _Toc6408 </w:instrText>
          </w:r>
          <w:r>
            <w:fldChar w:fldCharType="separate"/>
          </w:r>
          <w:r>
            <w:rPr>
              <w:rFonts w:ascii="Times New Roman" w:hAnsi="Times New Roman" w:eastAsia="黑体"/>
            </w:rPr>
            <w:t>一、数字化转型与医疗健康产业变革</w:t>
          </w:r>
          <w:r>
            <w:tab/>
          </w:r>
          <w:r>
            <w:fldChar w:fldCharType="begin"/>
          </w:r>
          <w:r>
            <w:instrText xml:space="preserve"> PAGEREF _Toc6408 \h </w:instrText>
          </w:r>
          <w:r>
            <w:fldChar w:fldCharType="separate"/>
          </w:r>
          <w:r>
            <w:t>8</w:t>
          </w:r>
          <w:r>
            <w:fldChar w:fldCharType="end"/>
          </w:r>
          <w:r>
            <w:fldChar w:fldCharType="end"/>
          </w:r>
        </w:p>
        <w:p w14:paraId="673D1EF9">
          <w:pPr>
            <w:pStyle w:val="25"/>
            <w:tabs>
              <w:tab w:val="right" w:leader="dot" w:pos="8612"/>
            </w:tabs>
          </w:pPr>
          <w:r>
            <w:fldChar w:fldCharType="begin"/>
          </w:r>
          <w:r>
            <w:instrText xml:space="preserve"> HYPERLINK \l _Toc17314 </w:instrText>
          </w:r>
          <w:r>
            <w:fldChar w:fldCharType="separate"/>
          </w:r>
          <w:r>
            <w:rPr>
              <w:rFonts w:ascii="Times New Roman" w:hAnsi="Times New Roman" w:eastAsia="黑体"/>
            </w:rPr>
            <w:t>二、互联网医院的发展现状与挑战</w:t>
          </w:r>
          <w:r>
            <w:tab/>
          </w:r>
          <w:r>
            <w:fldChar w:fldCharType="begin"/>
          </w:r>
          <w:r>
            <w:instrText xml:space="preserve"> PAGEREF _Toc17314 \h </w:instrText>
          </w:r>
          <w:r>
            <w:fldChar w:fldCharType="separate"/>
          </w:r>
          <w:r>
            <w:t>9</w:t>
          </w:r>
          <w:r>
            <w:fldChar w:fldCharType="end"/>
          </w:r>
          <w:r>
            <w:fldChar w:fldCharType="end"/>
          </w:r>
        </w:p>
        <w:p w14:paraId="6DBBFB0D">
          <w:pPr>
            <w:pStyle w:val="25"/>
            <w:tabs>
              <w:tab w:val="right" w:leader="dot" w:pos="8612"/>
            </w:tabs>
          </w:pPr>
          <w:r>
            <w:fldChar w:fldCharType="begin"/>
          </w:r>
          <w:r>
            <w:instrText xml:space="preserve"> HYPERLINK \l _Toc12004 </w:instrText>
          </w:r>
          <w:r>
            <w:fldChar w:fldCharType="separate"/>
          </w:r>
          <w:r>
            <w:rPr>
              <w:rFonts w:ascii="Times New Roman" w:hAnsi="Times New Roman" w:eastAsia="黑体"/>
            </w:rPr>
            <w:t>三、A医药集团互联网医院的建设背景</w:t>
          </w:r>
          <w:r>
            <w:tab/>
          </w:r>
          <w:r>
            <w:fldChar w:fldCharType="begin"/>
          </w:r>
          <w:r>
            <w:instrText xml:space="preserve"> PAGEREF _Toc12004 \h </w:instrText>
          </w:r>
          <w:r>
            <w:fldChar w:fldCharType="separate"/>
          </w:r>
          <w:r>
            <w:t>10</w:t>
          </w:r>
          <w:r>
            <w:fldChar w:fldCharType="end"/>
          </w:r>
          <w:r>
            <w:fldChar w:fldCharType="end"/>
          </w:r>
        </w:p>
        <w:p w14:paraId="1EF9B933">
          <w:pPr>
            <w:pStyle w:val="31"/>
            <w:tabs>
              <w:tab w:val="right" w:leader="dot" w:pos="8612"/>
            </w:tabs>
          </w:pPr>
          <w:r>
            <w:fldChar w:fldCharType="begin"/>
          </w:r>
          <w:r>
            <w:instrText xml:space="preserve"> HYPERLINK \l _Toc14941 </w:instrText>
          </w:r>
          <w:r>
            <w:fldChar w:fldCharType="separate"/>
          </w:r>
          <w:r>
            <w:rPr>
              <w:rFonts w:ascii="Times New Roman" w:hAnsi="Times New Roman" w:eastAsia="黑体"/>
            </w:rPr>
            <w:t>第二节　研究问题与意义</w:t>
          </w:r>
          <w:r>
            <w:tab/>
          </w:r>
          <w:r>
            <w:fldChar w:fldCharType="begin"/>
          </w:r>
          <w:r>
            <w:instrText xml:space="preserve"> PAGEREF _Toc14941 \h </w:instrText>
          </w:r>
          <w:r>
            <w:fldChar w:fldCharType="separate"/>
          </w:r>
          <w:r>
            <w:t>11</w:t>
          </w:r>
          <w:r>
            <w:fldChar w:fldCharType="end"/>
          </w:r>
          <w:r>
            <w:fldChar w:fldCharType="end"/>
          </w:r>
        </w:p>
        <w:p w14:paraId="2B2BC4CC">
          <w:pPr>
            <w:pStyle w:val="25"/>
            <w:tabs>
              <w:tab w:val="right" w:leader="dot" w:pos="8612"/>
            </w:tabs>
          </w:pPr>
          <w:r>
            <w:fldChar w:fldCharType="begin"/>
          </w:r>
          <w:r>
            <w:instrText xml:space="preserve"> HYPERLINK \l _Toc17641 </w:instrText>
          </w:r>
          <w:r>
            <w:fldChar w:fldCharType="separate"/>
          </w:r>
          <w:r>
            <w:rPr>
              <w:rFonts w:ascii="Times New Roman" w:hAnsi="Times New Roman" w:eastAsia="黑体"/>
            </w:rPr>
            <w:t>一、核心研究问题的提出</w:t>
          </w:r>
          <w:r>
            <w:tab/>
          </w:r>
          <w:r>
            <w:fldChar w:fldCharType="begin"/>
          </w:r>
          <w:r>
            <w:instrText xml:space="preserve"> PAGEREF _Toc17641 \h </w:instrText>
          </w:r>
          <w:r>
            <w:fldChar w:fldCharType="separate"/>
          </w:r>
          <w:r>
            <w:t>11</w:t>
          </w:r>
          <w:r>
            <w:fldChar w:fldCharType="end"/>
          </w:r>
          <w:r>
            <w:fldChar w:fldCharType="end"/>
          </w:r>
        </w:p>
        <w:p w14:paraId="138133D1">
          <w:pPr>
            <w:pStyle w:val="25"/>
            <w:tabs>
              <w:tab w:val="right" w:leader="dot" w:pos="8612"/>
            </w:tabs>
          </w:pPr>
          <w:r>
            <w:fldChar w:fldCharType="begin"/>
          </w:r>
          <w:r>
            <w:instrText xml:space="preserve"> HYPERLINK \l _Toc8268 </w:instrText>
          </w:r>
          <w:r>
            <w:fldChar w:fldCharType="separate"/>
          </w:r>
          <w:r>
            <w:rPr>
              <w:rFonts w:ascii="Times New Roman" w:hAnsi="Times New Roman" w:eastAsia="黑体"/>
            </w:rPr>
            <w:t>二、理论意义</w:t>
          </w:r>
          <w:r>
            <w:tab/>
          </w:r>
          <w:r>
            <w:fldChar w:fldCharType="begin"/>
          </w:r>
          <w:r>
            <w:instrText xml:space="preserve"> PAGEREF _Toc8268 \h </w:instrText>
          </w:r>
          <w:r>
            <w:fldChar w:fldCharType="separate"/>
          </w:r>
          <w:r>
            <w:t>12</w:t>
          </w:r>
          <w:r>
            <w:fldChar w:fldCharType="end"/>
          </w:r>
          <w:r>
            <w:fldChar w:fldCharType="end"/>
          </w:r>
        </w:p>
        <w:p w14:paraId="44FF6CEB">
          <w:pPr>
            <w:pStyle w:val="25"/>
            <w:tabs>
              <w:tab w:val="right" w:leader="dot" w:pos="8612"/>
            </w:tabs>
          </w:pPr>
          <w:r>
            <w:fldChar w:fldCharType="begin"/>
          </w:r>
          <w:r>
            <w:instrText xml:space="preserve"> HYPERLINK \l _Toc22330 </w:instrText>
          </w:r>
          <w:r>
            <w:fldChar w:fldCharType="separate"/>
          </w:r>
          <w:r>
            <w:rPr>
              <w:rFonts w:ascii="Times New Roman" w:hAnsi="Times New Roman" w:eastAsia="黑体"/>
            </w:rPr>
            <w:t>三、实践意义</w:t>
          </w:r>
          <w:r>
            <w:tab/>
          </w:r>
          <w:r>
            <w:fldChar w:fldCharType="begin"/>
          </w:r>
          <w:r>
            <w:instrText xml:space="preserve"> PAGEREF _Toc22330 \h </w:instrText>
          </w:r>
          <w:r>
            <w:fldChar w:fldCharType="separate"/>
          </w:r>
          <w:r>
            <w:t>12</w:t>
          </w:r>
          <w:r>
            <w:fldChar w:fldCharType="end"/>
          </w:r>
          <w:r>
            <w:fldChar w:fldCharType="end"/>
          </w:r>
        </w:p>
        <w:p w14:paraId="039CA009">
          <w:pPr>
            <w:pStyle w:val="31"/>
            <w:tabs>
              <w:tab w:val="right" w:leader="dot" w:pos="8612"/>
            </w:tabs>
          </w:pPr>
          <w:r>
            <w:fldChar w:fldCharType="begin"/>
          </w:r>
          <w:r>
            <w:instrText xml:space="preserve"> HYPERLINK \l _Toc26784 </w:instrText>
          </w:r>
          <w:r>
            <w:fldChar w:fldCharType="separate"/>
          </w:r>
          <w:r>
            <w:rPr>
              <w:rFonts w:ascii="Times New Roman" w:hAnsi="Times New Roman" w:eastAsia="黑体"/>
            </w:rPr>
            <w:t>第三节　研究内容与方法</w:t>
          </w:r>
          <w:r>
            <w:tab/>
          </w:r>
          <w:r>
            <w:fldChar w:fldCharType="begin"/>
          </w:r>
          <w:r>
            <w:instrText xml:space="preserve"> PAGEREF _Toc26784 \h </w:instrText>
          </w:r>
          <w:r>
            <w:fldChar w:fldCharType="separate"/>
          </w:r>
          <w:r>
            <w:t>13</w:t>
          </w:r>
          <w:r>
            <w:fldChar w:fldCharType="end"/>
          </w:r>
          <w:r>
            <w:fldChar w:fldCharType="end"/>
          </w:r>
        </w:p>
        <w:p w14:paraId="42069E96">
          <w:pPr>
            <w:pStyle w:val="25"/>
            <w:tabs>
              <w:tab w:val="right" w:leader="dot" w:pos="8612"/>
            </w:tabs>
          </w:pPr>
          <w:r>
            <w:fldChar w:fldCharType="begin"/>
          </w:r>
          <w:r>
            <w:instrText xml:space="preserve"> HYPERLINK \l _Toc7567 </w:instrText>
          </w:r>
          <w:r>
            <w:fldChar w:fldCharType="separate"/>
          </w:r>
          <w:r>
            <w:rPr>
              <w:rFonts w:ascii="Times New Roman" w:hAnsi="Times New Roman" w:eastAsia="黑体"/>
            </w:rPr>
            <w:t>一、研究内容与技术路线</w:t>
          </w:r>
          <w:r>
            <w:tab/>
          </w:r>
          <w:r>
            <w:fldChar w:fldCharType="begin"/>
          </w:r>
          <w:r>
            <w:instrText xml:space="preserve"> PAGEREF _Toc7567 \h </w:instrText>
          </w:r>
          <w:r>
            <w:fldChar w:fldCharType="separate"/>
          </w:r>
          <w:r>
            <w:t>13</w:t>
          </w:r>
          <w:r>
            <w:fldChar w:fldCharType="end"/>
          </w:r>
          <w:r>
            <w:fldChar w:fldCharType="end"/>
          </w:r>
        </w:p>
        <w:p w14:paraId="75F74D6E">
          <w:pPr>
            <w:pStyle w:val="25"/>
            <w:tabs>
              <w:tab w:val="right" w:leader="dot" w:pos="8612"/>
            </w:tabs>
          </w:pPr>
          <w:r>
            <w:fldChar w:fldCharType="begin"/>
          </w:r>
          <w:r>
            <w:instrText xml:space="preserve"> HYPERLINK \l _Toc24651 </w:instrText>
          </w:r>
          <w:r>
            <w:fldChar w:fldCharType="separate"/>
          </w:r>
          <w:r>
            <w:rPr>
              <w:rFonts w:ascii="Times New Roman" w:hAnsi="Times New Roman" w:eastAsia="黑体"/>
            </w:rPr>
            <w:t>二、研究方法</w:t>
          </w:r>
          <w:r>
            <w:tab/>
          </w:r>
          <w:r>
            <w:fldChar w:fldCharType="begin"/>
          </w:r>
          <w:r>
            <w:instrText xml:space="preserve"> PAGEREF _Toc24651 \h </w:instrText>
          </w:r>
          <w:r>
            <w:fldChar w:fldCharType="separate"/>
          </w:r>
          <w:r>
            <w:t>14</w:t>
          </w:r>
          <w:r>
            <w:fldChar w:fldCharType="end"/>
          </w:r>
          <w:r>
            <w:fldChar w:fldCharType="end"/>
          </w:r>
        </w:p>
        <w:p w14:paraId="368F1569">
          <w:pPr>
            <w:pStyle w:val="25"/>
            <w:tabs>
              <w:tab w:val="right" w:leader="dot" w:pos="8612"/>
            </w:tabs>
          </w:pPr>
          <w:r>
            <w:fldChar w:fldCharType="begin"/>
          </w:r>
          <w:r>
            <w:instrText xml:space="preserve"> HYPERLINK \l _Toc23725 </w:instrText>
          </w:r>
          <w:r>
            <w:fldChar w:fldCharType="separate"/>
          </w:r>
          <w:r>
            <w:rPr>
              <w:rFonts w:ascii="Times New Roman" w:hAnsi="Times New Roman" w:eastAsia="黑体"/>
            </w:rPr>
            <w:t>三、本研究解决的关键问题</w:t>
          </w:r>
          <w:r>
            <w:tab/>
          </w:r>
          <w:r>
            <w:fldChar w:fldCharType="begin"/>
          </w:r>
          <w:r>
            <w:instrText xml:space="preserve"> PAGEREF _Toc23725 \h </w:instrText>
          </w:r>
          <w:r>
            <w:fldChar w:fldCharType="separate"/>
          </w:r>
          <w:r>
            <w:t>15</w:t>
          </w:r>
          <w:r>
            <w:fldChar w:fldCharType="end"/>
          </w:r>
          <w:r>
            <w:fldChar w:fldCharType="end"/>
          </w:r>
        </w:p>
        <w:p w14:paraId="4968E2D8">
          <w:pPr>
            <w:pStyle w:val="31"/>
            <w:tabs>
              <w:tab w:val="right" w:leader="dot" w:pos="8612"/>
            </w:tabs>
          </w:pPr>
          <w:r>
            <w:fldChar w:fldCharType="begin"/>
          </w:r>
          <w:r>
            <w:instrText xml:space="preserve"> HYPERLINK \l _Toc7732 </w:instrText>
          </w:r>
          <w:r>
            <w:fldChar w:fldCharType="separate"/>
          </w:r>
          <w:r>
            <w:rPr>
              <w:rFonts w:ascii="Times New Roman" w:hAnsi="Times New Roman" w:eastAsia="黑体"/>
            </w:rPr>
            <w:t>第四节　论文结构安排</w:t>
          </w:r>
          <w:r>
            <w:tab/>
          </w:r>
          <w:r>
            <w:fldChar w:fldCharType="begin"/>
          </w:r>
          <w:r>
            <w:instrText xml:space="preserve"> PAGEREF _Toc7732 \h </w:instrText>
          </w:r>
          <w:r>
            <w:fldChar w:fldCharType="separate"/>
          </w:r>
          <w:r>
            <w:t>16</w:t>
          </w:r>
          <w:r>
            <w:fldChar w:fldCharType="end"/>
          </w:r>
          <w:r>
            <w:fldChar w:fldCharType="end"/>
          </w:r>
        </w:p>
        <w:p w14:paraId="0FE6C617">
          <w:pPr>
            <w:pStyle w:val="28"/>
            <w:tabs>
              <w:tab w:val="right" w:leader="dot" w:pos="8612"/>
            </w:tabs>
          </w:pPr>
          <w:r>
            <w:fldChar w:fldCharType="begin"/>
          </w:r>
          <w:r>
            <w:instrText xml:space="preserve"> HYPERLINK \l _Toc26697 </w:instrText>
          </w:r>
          <w:r>
            <w:fldChar w:fldCharType="separate"/>
          </w:r>
          <w:r>
            <w:rPr>
              <w:rFonts w:ascii="Times New Roman" w:hAnsi="Times New Roman" w:eastAsia="黑体"/>
            </w:rPr>
            <w:t>第二章　文献综述与理论基础</w:t>
          </w:r>
          <w:r>
            <w:tab/>
          </w:r>
          <w:r>
            <w:fldChar w:fldCharType="begin"/>
          </w:r>
          <w:r>
            <w:instrText xml:space="preserve"> PAGEREF _Toc26697 \h </w:instrText>
          </w:r>
          <w:r>
            <w:fldChar w:fldCharType="separate"/>
          </w:r>
          <w:r>
            <w:t>17</w:t>
          </w:r>
          <w:r>
            <w:fldChar w:fldCharType="end"/>
          </w:r>
          <w:r>
            <w:fldChar w:fldCharType="end"/>
          </w:r>
        </w:p>
        <w:p w14:paraId="480CCC71">
          <w:pPr>
            <w:pStyle w:val="31"/>
            <w:tabs>
              <w:tab w:val="right" w:leader="dot" w:pos="8612"/>
            </w:tabs>
          </w:pPr>
          <w:r>
            <w:fldChar w:fldCharType="begin"/>
          </w:r>
          <w:r>
            <w:instrText xml:space="preserve"> HYPERLINK \l _Toc1534 </w:instrText>
          </w:r>
          <w:r>
            <w:fldChar w:fldCharType="separate"/>
          </w:r>
          <w:r>
            <w:rPr>
              <w:rFonts w:ascii="Times New Roman" w:hAnsi="Times New Roman" w:eastAsia="黑体"/>
            </w:rPr>
            <w:t>第一节　互联网医院相关研究</w:t>
          </w:r>
          <w:r>
            <w:tab/>
          </w:r>
          <w:r>
            <w:fldChar w:fldCharType="begin"/>
          </w:r>
          <w:r>
            <w:instrText xml:space="preserve"> PAGEREF _Toc1534 \h </w:instrText>
          </w:r>
          <w:r>
            <w:fldChar w:fldCharType="separate"/>
          </w:r>
          <w:r>
            <w:t>17</w:t>
          </w:r>
          <w:r>
            <w:fldChar w:fldCharType="end"/>
          </w:r>
          <w:r>
            <w:fldChar w:fldCharType="end"/>
          </w:r>
        </w:p>
        <w:p w14:paraId="6DF9B163">
          <w:pPr>
            <w:pStyle w:val="25"/>
            <w:tabs>
              <w:tab w:val="right" w:leader="dot" w:pos="8612"/>
            </w:tabs>
          </w:pPr>
          <w:r>
            <w:fldChar w:fldCharType="begin"/>
          </w:r>
          <w:r>
            <w:instrText xml:space="preserve"> HYPERLINK \l _Toc305 </w:instrText>
          </w:r>
          <w:r>
            <w:fldChar w:fldCharType="separate"/>
          </w:r>
          <w:r>
            <w:rPr>
              <w:rFonts w:ascii="Times New Roman" w:hAnsi="Times New Roman" w:eastAsia="黑体"/>
            </w:rPr>
            <w:t>一、互联网医院的概念与演进</w:t>
          </w:r>
          <w:r>
            <w:tab/>
          </w:r>
          <w:r>
            <w:fldChar w:fldCharType="begin"/>
          </w:r>
          <w:r>
            <w:instrText xml:space="preserve"> PAGEREF _Toc305 \h </w:instrText>
          </w:r>
          <w:r>
            <w:fldChar w:fldCharType="separate"/>
          </w:r>
          <w:r>
            <w:t>17</w:t>
          </w:r>
          <w:r>
            <w:fldChar w:fldCharType="end"/>
          </w:r>
          <w:r>
            <w:fldChar w:fldCharType="end"/>
          </w:r>
        </w:p>
        <w:p w14:paraId="16F770CB">
          <w:pPr>
            <w:pStyle w:val="25"/>
            <w:tabs>
              <w:tab w:val="right" w:leader="dot" w:pos="8612"/>
            </w:tabs>
          </w:pPr>
          <w:r>
            <w:fldChar w:fldCharType="begin"/>
          </w:r>
          <w:r>
            <w:instrText xml:space="preserve"> HYPERLINK \l _Toc31247 </w:instrText>
          </w:r>
          <w:r>
            <w:fldChar w:fldCharType="separate"/>
          </w:r>
          <w:r>
            <w:rPr>
              <w:rFonts w:ascii="Times New Roman" w:hAnsi="Times New Roman" w:eastAsia="黑体"/>
            </w:rPr>
            <w:t>二、互联网医院运营模式研究</w:t>
          </w:r>
          <w:r>
            <w:tab/>
          </w:r>
          <w:r>
            <w:fldChar w:fldCharType="begin"/>
          </w:r>
          <w:r>
            <w:instrText xml:space="preserve"> PAGEREF _Toc31247 \h </w:instrText>
          </w:r>
          <w:r>
            <w:fldChar w:fldCharType="separate"/>
          </w:r>
          <w:r>
            <w:t>18</w:t>
          </w:r>
          <w:r>
            <w:fldChar w:fldCharType="end"/>
          </w:r>
          <w:r>
            <w:fldChar w:fldCharType="end"/>
          </w:r>
        </w:p>
        <w:p w14:paraId="233C2992">
          <w:pPr>
            <w:pStyle w:val="25"/>
            <w:tabs>
              <w:tab w:val="right" w:leader="dot" w:pos="8612"/>
            </w:tabs>
          </w:pPr>
          <w:r>
            <w:fldChar w:fldCharType="begin"/>
          </w:r>
          <w:r>
            <w:instrText xml:space="preserve"> HYPERLINK \l _Toc22978 </w:instrText>
          </w:r>
          <w:r>
            <w:fldChar w:fldCharType="separate"/>
          </w:r>
          <w:r>
            <w:rPr>
              <w:rFonts w:ascii="Times New Roman" w:hAnsi="Times New Roman" w:eastAsia="黑体"/>
            </w:rPr>
            <w:t>三、互联网医院服务质量与效率研究</w:t>
          </w:r>
          <w:r>
            <w:tab/>
          </w:r>
          <w:r>
            <w:fldChar w:fldCharType="begin"/>
          </w:r>
          <w:r>
            <w:instrText xml:space="preserve"> PAGEREF _Toc22978 \h </w:instrText>
          </w:r>
          <w:r>
            <w:fldChar w:fldCharType="separate"/>
          </w:r>
          <w:r>
            <w:t>19</w:t>
          </w:r>
          <w:r>
            <w:fldChar w:fldCharType="end"/>
          </w:r>
          <w:r>
            <w:fldChar w:fldCharType="end"/>
          </w:r>
        </w:p>
        <w:p w14:paraId="3DEBAB43">
          <w:pPr>
            <w:pStyle w:val="31"/>
            <w:tabs>
              <w:tab w:val="right" w:leader="dot" w:pos="8612"/>
            </w:tabs>
          </w:pPr>
          <w:r>
            <w:fldChar w:fldCharType="begin"/>
          </w:r>
          <w:r>
            <w:instrText xml:space="preserve"> HYPERLINK \l _Toc32438 </w:instrText>
          </w:r>
          <w:r>
            <w:fldChar w:fldCharType="separate"/>
          </w:r>
          <w:r>
            <w:rPr>
              <w:rFonts w:ascii="Times New Roman" w:hAnsi="Times New Roman" w:eastAsia="黑体"/>
            </w:rPr>
            <w:t>第二节　服务流程优化理论</w:t>
          </w:r>
          <w:r>
            <w:tab/>
          </w:r>
          <w:r>
            <w:fldChar w:fldCharType="begin"/>
          </w:r>
          <w:r>
            <w:instrText xml:space="preserve"> PAGEREF _Toc32438 \h </w:instrText>
          </w:r>
          <w:r>
            <w:fldChar w:fldCharType="separate"/>
          </w:r>
          <w:r>
            <w:t>20</w:t>
          </w:r>
          <w:r>
            <w:fldChar w:fldCharType="end"/>
          </w:r>
          <w:r>
            <w:fldChar w:fldCharType="end"/>
          </w:r>
        </w:p>
        <w:p w14:paraId="0AC88643">
          <w:pPr>
            <w:pStyle w:val="25"/>
            <w:tabs>
              <w:tab w:val="right" w:leader="dot" w:pos="8612"/>
            </w:tabs>
          </w:pPr>
          <w:r>
            <w:fldChar w:fldCharType="begin"/>
          </w:r>
          <w:r>
            <w:instrText xml:space="preserve"> HYPERLINK \l _Toc6885 </w:instrText>
          </w:r>
          <w:r>
            <w:fldChar w:fldCharType="separate"/>
          </w:r>
          <w:r>
            <w:rPr>
              <w:rFonts w:ascii="Times New Roman" w:hAnsi="Times New Roman" w:eastAsia="黑体"/>
            </w:rPr>
            <w:t>一、服务蓝图理论（Service Blueprint）</w:t>
          </w:r>
          <w:r>
            <w:tab/>
          </w:r>
          <w:r>
            <w:fldChar w:fldCharType="begin"/>
          </w:r>
          <w:r>
            <w:instrText xml:space="preserve"> PAGEREF _Toc6885 \h </w:instrText>
          </w:r>
          <w:r>
            <w:fldChar w:fldCharType="separate"/>
          </w:r>
          <w:r>
            <w:t>20</w:t>
          </w:r>
          <w:r>
            <w:fldChar w:fldCharType="end"/>
          </w:r>
          <w:r>
            <w:fldChar w:fldCharType="end"/>
          </w:r>
        </w:p>
        <w:p w14:paraId="3E365DD0">
          <w:pPr>
            <w:pStyle w:val="25"/>
            <w:tabs>
              <w:tab w:val="right" w:leader="dot" w:pos="8612"/>
            </w:tabs>
          </w:pPr>
          <w:r>
            <w:fldChar w:fldCharType="begin"/>
          </w:r>
          <w:r>
            <w:instrText xml:space="preserve"> HYPERLINK \l _Toc24484 </w:instrText>
          </w:r>
          <w:r>
            <w:fldChar w:fldCharType="separate"/>
          </w:r>
          <w:r>
            <w:rPr>
              <w:rFonts w:ascii="Times New Roman" w:hAnsi="Times New Roman" w:eastAsia="黑体"/>
            </w:rPr>
            <w:t>二、流程挖掘（Process Mining）</w:t>
          </w:r>
          <w:r>
            <w:tab/>
          </w:r>
          <w:r>
            <w:fldChar w:fldCharType="begin"/>
          </w:r>
          <w:r>
            <w:instrText xml:space="preserve"> PAGEREF _Toc24484 \h </w:instrText>
          </w:r>
          <w:r>
            <w:fldChar w:fldCharType="separate"/>
          </w:r>
          <w:r>
            <w:t>21</w:t>
          </w:r>
          <w:r>
            <w:fldChar w:fldCharType="end"/>
          </w:r>
          <w:r>
            <w:fldChar w:fldCharType="end"/>
          </w:r>
        </w:p>
        <w:p w14:paraId="3CF33389">
          <w:pPr>
            <w:pStyle w:val="25"/>
            <w:tabs>
              <w:tab w:val="right" w:leader="dot" w:pos="8612"/>
            </w:tabs>
          </w:pPr>
          <w:r>
            <w:fldChar w:fldCharType="begin"/>
          </w:r>
          <w:r>
            <w:instrText xml:space="preserve"> HYPERLINK \l _Toc22066 </w:instrText>
          </w:r>
          <w:r>
            <w:fldChar w:fldCharType="separate"/>
          </w:r>
          <w:r>
            <w:rPr>
              <w:rFonts w:ascii="Times New Roman" w:hAnsi="Times New Roman" w:eastAsia="黑体"/>
            </w:rPr>
            <w:t>三、层次分析法（AHP）与网络层次分析法（ANP）</w:t>
          </w:r>
          <w:r>
            <w:tab/>
          </w:r>
          <w:r>
            <w:fldChar w:fldCharType="begin"/>
          </w:r>
          <w:r>
            <w:instrText xml:space="preserve"> PAGEREF _Toc22066 \h </w:instrText>
          </w:r>
          <w:r>
            <w:fldChar w:fldCharType="separate"/>
          </w:r>
          <w:r>
            <w:t>22</w:t>
          </w:r>
          <w:r>
            <w:fldChar w:fldCharType="end"/>
          </w:r>
          <w:r>
            <w:fldChar w:fldCharType="end"/>
          </w:r>
        </w:p>
        <w:p w14:paraId="4EA5B50F">
          <w:pPr>
            <w:pStyle w:val="25"/>
            <w:tabs>
              <w:tab w:val="right" w:leader="dot" w:pos="8612"/>
            </w:tabs>
          </w:pPr>
          <w:r>
            <w:fldChar w:fldCharType="begin"/>
          </w:r>
          <w:r>
            <w:instrText xml:space="preserve"> HYPERLINK \l _Toc12823 </w:instrText>
          </w:r>
          <w:r>
            <w:fldChar w:fldCharType="separate"/>
          </w:r>
          <w:r>
            <w:rPr>
              <w:rFonts w:ascii="Times New Roman" w:hAnsi="Times New Roman" w:eastAsia="黑体"/>
            </w:rPr>
            <w:t>四、精益服务与六西格玛</w:t>
          </w:r>
          <w:r>
            <w:tab/>
          </w:r>
          <w:r>
            <w:fldChar w:fldCharType="begin"/>
          </w:r>
          <w:r>
            <w:instrText xml:space="preserve"> PAGEREF _Toc12823 \h </w:instrText>
          </w:r>
          <w:r>
            <w:fldChar w:fldCharType="separate"/>
          </w:r>
          <w:r>
            <w:t>23</w:t>
          </w:r>
          <w:r>
            <w:fldChar w:fldCharType="end"/>
          </w:r>
          <w:r>
            <w:fldChar w:fldCharType="end"/>
          </w:r>
        </w:p>
        <w:p w14:paraId="00021DD8">
          <w:pPr>
            <w:pStyle w:val="25"/>
            <w:tabs>
              <w:tab w:val="right" w:leader="dot" w:pos="8612"/>
            </w:tabs>
          </w:pPr>
          <w:r>
            <w:fldChar w:fldCharType="begin"/>
          </w:r>
          <w:r>
            <w:instrText xml:space="preserve"> HYPERLINK \l _Toc30184 </w:instrText>
          </w:r>
          <w:r>
            <w:fldChar w:fldCharType="separate"/>
          </w:r>
          <w:r>
            <w:rPr>
              <w:rFonts w:ascii="Times New Roman" w:hAnsi="Times New Roman" w:eastAsia="黑体"/>
            </w:rPr>
            <w:t>五、业务流程再造（BPR）</w:t>
          </w:r>
          <w:r>
            <w:tab/>
          </w:r>
          <w:r>
            <w:fldChar w:fldCharType="begin"/>
          </w:r>
          <w:r>
            <w:instrText xml:space="preserve"> PAGEREF _Toc30184 \h </w:instrText>
          </w:r>
          <w:r>
            <w:fldChar w:fldCharType="separate"/>
          </w:r>
          <w:r>
            <w:t>23</w:t>
          </w:r>
          <w:r>
            <w:fldChar w:fldCharType="end"/>
          </w:r>
          <w:r>
            <w:fldChar w:fldCharType="end"/>
          </w:r>
        </w:p>
        <w:p w14:paraId="5C5177A1">
          <w:pPr>
            <w:pStyle w:val="31"/>
            <w:tabs>
              <w:tab w:val="right" w:leader="dot" w:pos="8612"/>
            </w:tabs>
          </w:pPr>
          <w:r>
            <w:fldChar w:fldCharType="begin"/>
          </w:r>
          <w:r>
            <w:instrText xml:space="preserve"> HYPERLINK \l _Toc8548 </w:instrText>
          </w:r>
          <w:r>
            <w:fldChar w:fldCharType="separate"/>
          </w:r>
          <w:r>
            <w:rPr>
              <w:rFonts w:ascii="Times New Roman" w:hAnsi="Times New Roman" w:eastAsia="黑体"/>
            </w:rPr>
            <w:t>第三节　数字化转型理论</w:t>
          </w:r>
          <w:r>
            <w:tab/>
          </w:r>
          <w:r>
            <w:fldChar w:fldCharType="begin"/>
          </w:r>
          <w:r>
            <w:instrText xml:space="preserve"> PAGEREF _Toc8548 \h </w:instrText>
          </w:r>
          <w:r>
            <w:fldChar w:fldCharType="separate"/>
          </w:r>
          <w:r>
            <w:t>24</w:t>
          </w:r>
          <w:r>
            <w:fldChar w:fldCharType="end"/>
          </w:r>
          <w:r>
            <w:fldChar w:fldCharType="end"/>
          </w:r>
        </w:p>
        <w:p w14:paraId="0D3B6BE2">
          <w:pPr>
            <w:pStyle w:val="25"/>
            <w:tabs>
              <w:tab w:val="right" w:leader="dot" w:pos="8612"/>
            </w:tabs>
          </w:pPr>
          <w:r>
            <w:fldChar w:fldCharType="begin"/>
          </w:r>
          <w:r>
            <w:instrText xml:space="preserve"> HYPERLINK \l _Toc469 </w:instrText>
          </w:r>
          <w:r>
            <w:fldChar w:fldCharType="separate"/>
          </w:r>
          <w:r>
            <w:rPr>
              <w:rFonts w:ascii="Times New Roman" w:hAnsi="Times New Roman" w:eastAsia="黑体"/>
            </w:rPr>
            <w:t>一、数字化转型的概念与维度</w:t>
          </w:r>
          <w:r>
            <w:tab/>
          </w:r>
          <w:r>
            <w:fldChar w:fldCharType="begin"/>
          </w:r>
          <w:r>
            <w:instrText xml:space="preserve"> PAGEREF _Toc469 \h </w:instrText>
          </w:r>
          <w:r>
            <w:fldChar w:fldCharType="separate"/>
          </w:r>
          <w:r>
            <w:t>24</w:t>
          </w:r>
          <w:r>
            <w:fldChar w:fldCharType="end"/>
          </w:r>
          <w:r>
            <w:fldChar w:fldCharType="end"/>
          </w:r>
        </w:p>
        <w:p w14:paraId="121DC767">
          <w:pPr>
            <w:pStyle w:val="25"/>
            <w:tabs>
              <w:tab w:val="right" w:leader="dot" w:pos="8612"/>
            </w:tabs>
          </w:pPr>
          <w:r>
            <w:fldChar w:fldCharType="begin"/>
          </w:r>
          <w:r>
            <w:instrText xml:space="preserve"> HYPERLINK \l _Toc8386 </w:instrText>
          </w:r>
          <w:r>
            <w:fldChar w:fldCharType="separate"/>
          </w:r>
          <w:r>
            <w:rPr>
              <w:rFonts w:ascii="Times New Roman" w:hAnsi="Times New Roman" w:eastAsia="黑体"/>
            </w:rPr>
            <w:t>二、医疗行业数字化转型路径</w:t>
          </w:r>
          <w:r>
            <w:tab/>
          </w:r>
          <w:r>
            <w:fldChar w:fldCharType="begin"/>
          </w:r>
          <w:r>
            <w:instrText xml:space="preserve"> PAGEREF _Toc8386 \h </w:instrText>
          </w:r>
          <w:r>
            <w:fldChar w:fldCharType="separate"/>
          </w:r>
          <w:r>
            <w:t>24</w:t>
          </w:r>
          <w:r>
            <w:fldChar w:fldCharType="end"/>
          </w:r>
          <w:r>
            <w:fldChar w:fldCharType="end"/>
          </w:r>
        </w:p>
        <w:p w14:paraId="615DEFEA">
          <w:pPr>
            <w:pStyle w:val="31"/>
            <w:tabs>
              <w:tab w:val="right" w:leader="dot" w:pos="8612"/>
            </w:tabs>
          </w:pPr>
          <w:r>
            <w:fldChar w:fldCharType="begin"/>
          </w:r>
          <w:r>
            <w:instrText xml:space="preserve"> HYPERLINK \l _Toc2158 </w:instrText>
          </w:r>
          <w:r>
            <w:fldChar w:fldCharType="separate"/>
          </w:r>
          <w:r>
            <w:rPr>
              <w:rFonts w:ascii="Times New Roman" w:hAnsi="Times New Roman" w:eastAsia="黑体"/>
            </w:rPr>
            <w:t>第四节　文献评述与研究缺口定位</w:t>
          </w:r>
          <w:r>
            <w:tab/>
          </w:r>
          <w:r>
            <w:fldChar w:fldCharType="begin"/>
          </w:r>
          <w:r>
            <w:instrText xml:space="preserve"> PAGEREF _Toc2158 \h </w:instrText>
          </w:r>
          <w:r>
            <w:fldChar w:fldCharType="separate"/>
          </w:r>
          <w:r>
            <w:t>25</w:t>
          </w:r>
          <w:r>
            <w:fldChar w:fldCharType="end"/>
          </w:r>
          <w:r>
            <w:fldChar w:fldCharType="end"/>
          </w:r>
        </w:p>
        <w:p w14:paraId="1477C2C9">
          <w:pPr>
            <w:pStyle w:val="25"/>
            <w:tabs>
              <w:tab w:val="right" w:leader="dot" w:pos="8612"/>
            </w:tabs>
          </w:pPr>
          <w:r>
            <w:fldChar w:fldCharType="begin"/>
          </w:r>
          <w:r>
            <w:instrText xml:space="preserve"> HYPERLINK \l _Toc13445 </w:instrText>
          </w:r>
          <w:r>
            <w:fldChar w:fldCharType="separate"/>
          </w:r>
          <w:r>
            <w:rPr>
              <w:rFonts w:ascii="Times New Roman" w:hAnsi="Times New Roman" w:eastAsia="黑体"/>
            </w:rPr>
            <w:t>一、现有研究的贡献</w:t>
          </w:r>
          <w:r>
            <w:tab/>
          </w:r>
          <w:r>
            <w:fldChar w:fldCharType="begin"/>
          </w:r>
          <w:r>
            <w:instrText xml:space="preserve"> PAGEREF _Toc13445 \h </w:instrText>
          </w:r>
          <w:r>
            <w:fldChar w:fldCharType="separate"/>
          </w:r>
          <w:r>
            <w:t>26</w:t>
          </w:r>
          <w:r>
            <w:fldChar w:fldCharType="end"/>
          </w:r>
          <w:r>
            <w:fldChar w:fldCharType="end"/>
          </w:r>
        </w:p>
        <w:p w14:paraId="2E0DF278">
          <w:pPr>
            <w:pStyle w:val="25"/>
            <w:tabs>
              <w:tab w:val="right" w:leader="dot" w:pos="8612"/>
            </w:tabs>
          </w:pPr>
          <w:r>
            <w:fldChar w:fldCharType="begin"/>
          </w:r>
          <w:r>
            <w:instrText xml:space="preserve"> HYPERLINK \l _Toc13725 </w:instrText>
          </w:r>
          <w:r>
            <w:fldChar w:fldCharType="separate"/>
          </w:r>
          <w:r>
            <w:rPr>
              <w:rFonts w:ascii="Times New Roman" w:hAnsi="Times New Roman" w:eastAsia="黑体"/>
            </w:rPr>
            <w:t>二、研究缺口与本文定位</w:t>
          </w:r>
          <w:r>
            <w:tab/>
          </w:r>
          <w:r>
            <w:fldChar w:fldCharType="begin"/>
          </w:r>
          <w:r>
            <w:instrText xml:space="preserve"> PAGEREF _Toc13725 \h </w:instrText>
          </w:r>
          <w:r>
            <w:fldChar w:fldCharType="separate"/>
          </w:r>
          <w:r>
            <w:t>26</w:t>
          </w:r>
          <w:r>
            <w:fldChar w:fldCharType="end"/>
          </w:r>
          <w:r>
            <w:fldChar w:fldCharType="end"/>
          </w:r>
        </w:p>
        <w:p w14:paraId="4D9D9FE3">
          <w:pPr>
            <w:pStyle w:val="28"/>
            <w:tabs>
              <w:tab w:val="right" w:leader="dot" w:pos="8612"/>
            </w:tabs>
          </w:pPr>
          <w:r>
            <w:fldChar w:fldCharType="begin"/>
          </w:r>
          <w:r>
            <w:instrText xml:space="preserve"> HYPERLINK \l _Toc22065 </w:instrText>
          </w:r>
          <w:r>
            <w:fldChar w:fldCharType="separate"/>
          </w:r>
          <w:r>
            <w:rPr>
              <w:rFonts w:ascii="Times New Roman" w:hAnsi="Times New Roman" w:eastAsia="黑体"/>
            </w:rPr>
            <w:t>第三章　A医药集团互联网医院运营现状与问题分析</w:t>
          </w:r>
          <w:r>
            <w:tab/>
          </w:r>
          <w:r>
            <w:fldChar w:fldCharType="begin"/>
          </w:r>
          <w:r>
            <w:instrText xml:space="preserve"> PAGEREF _Toc22065 \h </w:instrText>
          </w:r>
          <w:r>
            <w:fldChar w:fldCharType="separate"/>
          </w:r>
          <w:r>
            <w:t>28</w:t>
          </w:r>
          <w:r>
            <w:fldChar w:fldCharType="end"/>
          </w:r>
          <w:r>
            <w:fldChar w:fldCharType="end"/>
          </w:r>
        </w:p>
        <w:p w14:paraId="3F714BF6">
          <w:pPr>
            <w:pStyle w:val="31"/>
            <w:tabs>
              <w:tab w:val="right" w:leader="dot" w:pos="8612"/>
            </w:tabs>
          </w:pPr>
          <w:r>
            <w:fldChar w:fldCharType="begin"/>
          </w:r>
          <w:r>
            <w:instrText xml:space="preserve"> HYPERLINK \l _Toc11539 </w:instrText>
          </w:r>
          <w:r>
            <w:fldChar w:fldCharType="separate"/>
          </w:r>
          <w:r>
            <w:rPr>
              <w:rFonts w:ascii="Times New Roman" w:hAnsi="Times New Roman" w:eastAsia="黑体"/>
            </w:rPr>
            <w:t>第一节　A医药集团与互联网医院概况</w:t>
          </w:r>
          <w:r>
            <w:tab/>
          </w:r>
          <w:r>
            <w:fldChar w:fldCharType="begin"/>
          </w:r>
          <w:r>
            <w:instrText xml:space="preserve"> PAGEREF _Toc11539 \h </w:instrText>
          </w:r>
          <w:r>
            <w:fldChar w:fldCharType="separate"/>
          </w:r>
          <w:r>
            <w:t>28</w:t>
          </w:r>
          <w:r>
            <w:fldChar w:fldCharType="end"/>
          </w:r>
          <w:r>
            <w:fldChar w:fldCharType="end"/>
          </w:r>
        </w:p>
        <w:p w14:paraId="68845AD3">
          <w:pPr>
            <w:pStyle w:val="25"/>
            <w:tabs>
              <w:tab w:val="right" w:leader="dot" w:pos="8612"/>
            </w:tabs>
          </w:pPr>
          <w:r>
            <w:fldChar w:fldCharType="begin"/>
          </w:r>
          <w:r>
            <w:instrText xml:space="preserve"> HYPERLINK \l _Toc20994 </w:instrText>
          </w:r>
          <w:r>
            <w:fldChar w:fldCharType="separate"/>
          </w:r>
          <w:r>
            <w:rPr>
              <w:rFonts w:ascii="Times New Roman" w:hAnsi="Times New Roman" w:eastAsia="黑体"/>
            </w:rPr>
            <w:t>一、A医药集团发展历程与业务版图</w:t>
          </w:r>
          <w:r>
            <w:tab/>
          </w:r>
          <w:r>
            <w:fldChar w:fldCharType="begin"/>
          </w:r>
          <w:r>
            <w:instrText xml:space="preserve"> PAGEREF _Toc20994 \h </w:instrText>
          </w:r>
          <w:r>
            <w:fldChar w:fldCharType="separate"/>
          </w:r>
          <w:r>
            <w:t>28</w:t>
          </w:r>
          <w:r>
            <w:fldChar w:fldCharType="end"/>
          </w:r>
          <w:r>
            <w:fldChar w:fldCharType="end"/>
          </w:r>
        </w:p>
        <w:p w14:paraId="6BBCE64F">
          <w:pPr>
            <w:pStyle w:val="25"/>
            <w:tabs>
              <w:tab w:val="right" w:leader="dot" w:pos="8612"/>
            </w:tabs>
          </w:pPr>
          <w:r>
            <w:fldChar w:fldCharType="begin"/>
          </w:r>
          <w:r>
            <w:instrText xml:space="preserve"> HYPERLINK \l _Toc11300 </w:instrText>
          </w:r>
          <w:r>
            <w:fldChar w:fldCharType="separate"/>
          </w:r>
          <w:r>
            <w:rPr>
              <w:rFonts w:ascii="Times New Roman" w:hAnsi="Times New Roman" w:eastAsia="黑体"/>
            </w:rPr>
            <w:t>二、互联网医院平台建设历程</w:t>
          </w:r>
          <w:r>
            <w:tab/>
          </w:r>
          <w:r>
            <w:fldChar w:fldCharType="begin"/>
          </w:r>
          <w:r>
            <w:instrText xml:space="preserve"> PAGEREF _Toc11300 \h </w:instrText>
          </w:r>
          <w:r>
            <w:fldChar w:fldCharType="separate"/>
          </w:r>
          <w:r>
            <w:t>30</w:t>
          </w:r>
          <w:r>
            <w:fldChar w:fldCharType="end"/>
          </w:r>
          <w:r>
            <w:fldChar w:fldCharType="end"/>
          </w:r>
        </w:p>
        <w:p w14:paraId="3A7E444B">
          <w:pPr>
            <w:pStyle w:val="31"/>
            <w:tabs>
              <w:tab w:val="right" w:leader="dot" w:pos="8612"/>
            </w:tabs>
          </w:pPr>
          <w:r>
            <w:fldChar w:fldCharType="begin"/>
          </w:r>
          <w:r>
            <w:instrText xml:space="preserve"> HYPERLINK \l _Toc12769 </w:instrText>
          </w:r>
          <w:r>
            <w:fldChar w:fldCharType="separate"/>
          </w:r>
          <w:r>
            <w:rPr>
              <w:rFonts w:ascii="Times New Roman" w:hAnsi="Times New Roman" w:eastAsia="黑体"/>
            </w:rPr>
            <w:t>第二节　互联网医院平台功能与数据基础</w:t>
          </w:r>
          <w:r>
            <w:tab/>
          </w:r>
          <w:r>
            <w:fldChar w:fldCharType="begin"/>
          </w:r>
          <w:r>
            <w:instrText xml:space="preserve"> PAGEREF _Toc12769 \h </w:instrText>
          </w:r>
          <w:r>
            <w:fldChar w:fldCharType="separate"/>
          </w:r>
          <w:r>
            <w:t>32</w:t>
          </w:r>
          <w:r>
            <w:fldChar w:fldCharType="end"/>
          </w:r>
          <w:r>
            <w:fldChar w:fldCharType="end"/>
          </w:r>
        </w:p>
        <w:p w14:paraId="34A9FBC3">
          <w:pPr>
            <w:pStyle w:val="25"/>
            <w:tabs>
              <w:tab w:val="right" w:leader="dot" w:pos="8612"/>
            </w:tabs>
          </w:pPr>
          <w:r>
            <w:fldChar w:fldCharType="begin"/>
          </w:r>
          <w:r>
            <w:instrText xml:space="preserve"> HYPERLINK \l _Toc22383 </w:instrText>
          </w:r>
          <w:r>
            <w:fldChar w:fldCharType="separate"/>
          </w:r>
          <w:r>
            <w:rPr>
              <w:rFonts w:ascii="Times New Roman" w:hAnsi="Times New Roman" w:eastAsia="黑体"/>
            </w:rPr>
            <w:t>一、平台功能模块</w:t>
          </w:r>
          <w:r>
            <w:tab/>
          </w:r>
          <w:r>
            <w:fldChar w:fldCharType="begin"/>
          </w:r>
          <w:r>
            <w:instrText xml:space="preserve"> PAGEREF _Toc22383 \h </w:instrText>
          </w:r>
          <w:r>
            <w:fldChar w:fldCharType="separate"/>
          </w:r>
          <w:r>
            <w:t>32</w:t>
          </w:r>
          <w:r>
            <w:fldChar w:fldCharType="end"/>
          </w:r>
          <w:r>
            <w:fldChar w:fldCharType="end"/>
          </w:r>
        </w:p>
        <w:p w14:paraId="5C5D9738">
          <w:pPr>
            <w:pStyle w:val="25"/>
            <w:tabs>
              <w:tab w:val="right" w:leader="dot" w:pos="8612"/>
            </w:tabs>
          </w:pPr>
          <w:r>
            <w:fldChar w:fldCharType="begin"/>
          </w:r>
          <w:r>
            <w:instrText xml:space="preserve"> HYPERLINK \l _Toc10467 </w:instrText>
          </w:r>
          <w:r>
            <w:fldChar w:fldCharType="separate"/>
          </w:r>
          <w:r>
            <w:rPr>
              <w:rFonts w:ascii="Times New Roman" w:hAnsi="Times New Roman" w:eastAsia="黑体"/>
            </w:rPr>
            <w:t>二、平台核心数据字段</w:t>
          </w:r>
          <w:r>
            <w:tab/>
          </w:r>
          <w:r>
            <w:fldChar w:fldCharType="begin"/>
          </w:r>
          <w:r>
            <w:instrText xml:space="preserve"> PAGEREF _Toc10467 \h </w:instrText>
          </w:r>
          <w:r>
            <w:fldChar w:fldCharType="separate"/>
          </w:r>
          <w:r>
            <w:t>33</w:t>
          </w:r>
          <w:r>
            <w:fldChar w:fldCharType="end"/>
          </w:r>
          <w:r>
            <w:fldChar w:fldCharType="end"/>
          </w:r>
        </w:p>
        <w:p w14:paraId="0ADCFFF9">
          <w:pPr>
            <w:pStyle w:val="25"/>
            <w:tabs>
              <w:tab w:val="right" w:leader="dot" w:pos="8612"/>
            </w:tabs>
          </w:pPr>
          <w:r>
            <w:fldChar w:fldCharType="begin"/>
          </w:r>
          <w:r>
            <w:instrText xml:space="preserve"> HYPERLINK \l _Toc31460 </w:instrText>
          </w:r>
          <w:r>
            <w:fldChar w:fldCharType="separate"/>
          </w:r>
          <w:r>
            <w:rPr>
              <w:rFonts w:ascii="Times New Roman" w:hAnsi="Times New Roman" w:eastAsia="黑体"/>
            </w:rPr>
            <w:t>三、数据规模与概况</w:t>
          </w:r>
          <w:r>
            <w:tab/>
          </w:r>
          <w:r>
            <w:fldChar w:fldCharType="begin"/>
          </w:r>
          <w:r>
            <w:instrText xml:space="preserve"> PAGEREF _Toc31460 \h </w:instrText>
          </w:r>
          <w:r>
            <w:fldChar w:fldCharType="separate"/>
          </w:r>
          <w:r>
            <w:t>35</w:t>
          </w:r>
          <w:r>
            <w:fldChar w:fldCharType="end"/>
          </w:r>
          <w:r>
            <w:fldChar w:fldCharType="end"/>
          </w:r>
        </w:p>
        <w:p w14:paraId="25B657BA">
          <w:pPr>
            <w:pStyle w:val="31"/>
            <w:tabs>
              <w:tab w:val="right" w:leader="dot" w:pos="8612"/>
            </w:tabs>
          </w:pPr>
          <w:r>
            <w:fldChar w:fldCharType="begin"/>
          </w:r>
          <w:r>
            <w:instrText xml:space="preserve"> HYPERLINK \l _Toc19383 </w:instrText>
          </w:r>
          <w:r>
            <w:fldChar w:fldCharType="separate"/>
          </w:r>
          <w:r>
            <w:rPr>
              <w:rFonts w:ascii="Times New Roman" w:hAnsi="Times New Roman" w:eastAsia="黑体"/>
            </w:rPr>
            <w:t>第三节　核心业务流程</w:t>
          </w:r>
          <w:r>
            <w:tab/>
          </w:r>
          <w:r>
            <w:fldChar w:fldCharType="begin"/>
          </w:r>
          <w:r>
            <w:instrText xml:space="preserve"> PAGEREF _Toc19383 \h </w:instrText>
          </w:r>
          <w:r>
            <w:fldChar w:fldCharType="separate"/>
          </w:r>
          <w:r>
            <w:t>36</w:t>
          </w:r>
          <w:r>
            <w:fldChar w:fldCharType="end"/>
          </w:r>
          <w:r>
            <w:fldChar w:fldCharType="end"/>
          </w:r>
        </w:p>
        <w:p w14:paraId="168A4A0E">
          <w:pPr>
            <w:pStyle w:val="25"/>
            <w:tabs>
              <w:tab w:val="right" w:leader="dot" w:pos="8612"/>
            </w:tabs>
          </w:pPr>
          <w:r>
            <w:fldChar w:fldCharType="begin"/>
          </w:r>
          <w:r>
            <w:instrText xml:space="preserve"> HYPERLINK \l _Toc30442 </w:instrText>
          </w:r>
          <w:r>
            <w:fldChar w:fldCharType="separate"/>
          </w:r>
          <w:r>
            <w:rPr>
              <w:rFonts w:ascii="Times New Roman" w:hAnsi="Times New Roman" w:eastAsia="黑体"/>
            </w:rPr>
            <w:t>一、线上问诊流程</w:t>
          </w:r>
          <w:r>
            <w:tab/>
          </w:r>
          <w:r>
            <w:fldChar w:fldCharType="begin"/>
          </w:r>
          <w:r>
            <w:instrText xml:space="preserve"> PAGEREF _Toc30442 \h </w:instrText>
          </w:r>
          <w:r>
            <w:fldChar w:fldCharType="separate"/>
          </w:r>
          <w:r>
            <w:t>36</w:t>
          </w:r>
          <w:r>
            <w:fldChar w:fldCharType="end"/>
          </w:r>
          <w:r>
            <w:fldChar w:fldCharType="end"/>
          </w:r>
        </w:p>
        <w:p w14:paraId="65F3EC52">
          <w:pPr>
            <w:pStyle w:val="25"/>
            <w:tabs>
              <w:tab w:val="right" w:leader="dot" w:pos="8612"/>
            </w:tabs>
          </w:pPr>
          <w:r>
            <w:fldChar w:fldCharType="begin"/>
          </w:r>
          <w:r>
            <w:instrText xml:space="preserve"> HYPERLINK \l _Toc1470 </w:instrText>
          </w:r>
          <w:r>
            <w:fldChar w:fldCharType="separate"/>
          </w:r>
          <w:r>
            <w:rPr>
              <w:rFonts w:ascii="Times New Roman" w:hAnsi="Times New Roman" w:eastAsia="黑体"/>
            </w:rPr>
            <w:t>二、处方开具与审核流程</w:t>
          </w:r>
          <w:r>
            <w:tab/>
          </w:r>
          <w:r>
            <w:fldChar w:fldCharType="begin"/>
          </w:r>
          <w:r>
            <w:instrText xml:space="preserve"> PAGEREF _Toc1470 \h </w:instrText>
          </w:r>
          <w:r>
            <w:fldChar w:fldCharType="separate"/>
          </w:r>
          <w:r>
            <w:t>37</w:t>
          </w:r>
          <w:r>
            <w:fldChar w:fldCharType="end"/>
          </w:r>
          <w:r>
            <w:fldChar w:fldCharType="end"/>
          </w:r>
        </w:p>
        <w:p w14:paraId="74E53E84">
          <w:pPr>
            <w:pStyle w:val="25"/>
            <w:tabs>
              <w:tab w:val="right" w:leader="dot" w:pos="8612"/>
            </w:tabs>
          </w:pPr>
          <w:r>
            <w:fldChar w:fldCharType="begin"/>
          </w:r>
          <w:r>
            <w:instrText xml:space="preserve"> HYPERLINK \l _Toc11178 </w:instrText>
          </w:r>
          <w:r>
            <w:fldChar w:fldCharType="separate"/>
          </w:r>
          <w:r>
            <w:rPr>
              <w:rFonts w:ascii="Times New Roman" w:hAnsi="Times New Roman" w:eastAsia="黑体"/>
            </w:rPr>
            <w:t>三、线下检查与检验衔接流程</w:t>
          </w:r>
          <w:r>
            <w:tab/>
          </w:r>
          <w:r>
            <w:fldChar w:fldCharType="begin"/>
          </w:r>
          <w:r>
            <w:instrText xml:space="preserve"> PAGEREF _Toc11178 \h </w:instrText>
          </w:r>
          <w:r>
            <w:fldChar w:fldCharType="separate"/>
          </w:r>
          <w:r>
            <w:t>38</w:t>
          </w:r>
          <w:r>
            <w:fldChar w:fldCharType="end"/>
          </w:r>
          <w:r>
            <w:fldChar w:fldCharType="end"/>
          </w:r>
        </w:p>
        <w:p w14:paraId="4FDA1998">
          <w:pPr>
            <w:pStyle w:val="25"/>
            <w:tabs>
              <w:tab w:val="right" w:leader="dot" w:pos="8612"/>
            </w:tabs>
          </w:pPr>
          <w:r>
            <w:fldChar w:fldCharType="begin"/>
          </w:r>
          <w:r>
            <w:instrText xml:space="preserve"> HYPERLINK \l _Toc30621 </w:instrText>
          </w:r>
          <w:r>
            <w:fldChar w:fldCharType="separate"/>
          </w:r>
          <w:r>
            <w:rPr>
              <w:rFonts w:ascii="Times New Roman" w:hAnsi="Times New Roman" w:eastAsia="黑体"/>
            </w:rPr>
            <w:t>四、药品配送与取药流程</w:t>
          </w:r>
          <w:r>
            <w:tab/>
          </w:r>
          <w:r>
            <w:fldChar w:fldCharType="begin"/>
          </w:r>
          <w:r>
            <w:instrText xml:space="preserve"> PAGEREF _Toc30621 \h </w:instrText>
          </w:r>
          <w:r>
            <w:fldChar w:fldCharType="separate"/>
          </w:r>
          <w:r>
            <w:t>38</w:t>
          </w:r>
          <w:r>
            <w:fldChar w:fldCharType="end"/>
          </w:r>
          <w:r>
            <w:fldChar w:fldCharType="end"/>
          </w:r>
        </w:p>
        <w:p w14:paraId="66C65227">
          <w:pPr>
            <w:pStyle w:val="31"/>
            <w:tabs>
              <w:tab w:val="right" w:leader="dot" w:pos="8612"/>
            </w:tabs>
          </w:pPr>
          <w:r>
            <w:fldChar w:fldCharType="begin"/>
          </w:r>
          <w:r>
            <w:instrText xml:space="preserve"> HYPERLINK \l _Toc31697 </w:instrText>
          </w:r>
          <w:r>
            <w:fldChar w:fldCharType="separate"/>
          </w:r>
          <w:r>
            <w:rPr>
              <w:rFonts w:ascii="Times New Roman" w:hAnsi="Times New Roman" w:eastAsia="黑体"/>
            </w:rPr>
            <w:t>第四节　多院区运营与问题识别</w:t>
          </w:r>
          <w:r>
            <w:tab/>
          </w:r>
          <w:r>
            <w:fldChar w:fldCharType="begin"/>
          </w:r>
          <w:r>
            <w:instrText xml:space="preserve"> PAGEREF _Toc31697 \h </w:instrText>
          </w:r>
          <w:r>
            <w:fldChar w:fldCharType="separate"/>
          </w:r>
          <w:r>
            <w:t>39</w:t>
          </w:r>
          <w:r>
            <w:fldChar w:fldCharType="end"/>
          </w:r>
          <w:r>
            <w:fldChar w:fldCharType="end"/>
          </w:r>
        </w:p>
        <w:p w14:paraId="316D67B6">
          <w:pPr>
            <w:pStyle w:val="25"/>
            <w:tabs>
              <w:tab w:val="right" w:leader="dot" w:pos="8612"/>
            </w:tabs>
          </w:pPr>
          <w:r>
            <w:fldChar w:fldCharType="begin"/>
          </w:r>
          <w:r>
            <w:instrText xml:space="preserve"> HYPERLINK \l _Toc4990 </w:instrText>
          </w:r>
          <w:r>
            <w:fldChar w:fldCharType="separate"/>
          </w:r>
          <w:r>
            <w:rPr>
              <w:rFonts w:ascii="Times New Roman" w:hAnsi="Times New Roman" w:eastAsia="黑体"/>
            </w:rPr>
            <w:t>一、各院区运营差异分析</w:t>
          </w:r>
          <w:r>
            <w:tab/>
          </w:r>
          <w:r>
            <w:fldChar w:fldCharType="begin"/>
          </w:r>
          <w:r>
            <w:instrText xml:space="preserve"> PAGEREF _Toc4990 \h </w:instrText>
          </w:r>
          <w:r>
            <w:fldChar w:fldCharType="separate"/>
          </w:r>
          <w:r>
            <w:t>39</w:t>
          </w:r>
          <w:r>
            <w:fldChar w:fldCharType="end"/>
          </w:r>
          <w:r>
            <w:fldChar w:fldCharType="end"/>
          </w:r>
        </w:p>
        <w:p w14:paraId="7CC83F35">
          <w:pPr>
            <w:pStyle w:val="25"/>
            <w:tabs>
              <w:tab w:val="right" w:leader="dot" w:pos="8612"/>
            </w:tabs>
          </w:pPr>
          <w:r>
            <w:fldChar w:fldCharType="begin"/>
          </w:r>
          <w:r>
            <w:instrText xml:space="preserve"> HYPERLINK \l _Toc2632 </w:instrText>
          </w:r>
          <w:r>
            <w:fldChar w:fldCharType="separate"/>
          </w:r>
          <w:r>
            <w:rPr>
              <w:rFonts w:ascii="Times New Roman" w:hAnsi="Times New Roman" w:eastAsia="黑体"/>
            </w:rPr>
            <w:t>二、线上线下的流程断点</w:t>
          </w:r>
          <w:r>
            <w:tab/>
          </w:r>
          <w:r>
            <w:fldChar w:fldCharType="begin"/>
          </w:r>
          <w:r>
            <w:instrText xml:space="preserve"> PAGEREF _Toc2632 \h </w:instrText>
          </w:r>
          <w:r>
            <w:fldChar w:fldCharType="separate"/>
          </w:r>
          <w:r>
            <w:t>41</w:t>
          </w:r>
          <w:r>
            <w:fldChar w:fldCharType="end"/>
          </w:r>
          <w:r>
            <w:fldChar w:fldCharType="end"/>
          </w:r>
        </w:p>
        <w:p w14:paraId="4F559823">
          <w:pPr>
            <w:pStyle w:val="25"/>
            <w:tabs>
              <w:tab w:val="right" w:leader="dot" w:pos="8612"/>
            </w:tabs>
          </w:pPr>
          <w:r>
            <w:fldChar w:fldCharType="begin"/>
          </w:r>
          <w:r>
            <w:instrText xml:space="preserve"> HYPERLINK \l _Toc11372 </w:instrText>
          </w:r>
          <w:r>
            <w:fldChar w:fldCharType="separate"/>
          </w:r>
          <w:r>
            <w:rPr>
              <w:rFonts w:ascii="Times New Roman" w:hAnsi="Times New Roman" w:eastAsia="黑体"/>
            </w:rPr>
            <w:t>三、多院区协同障碍</w:t>
          </w:r>
          <w:r>
            <w:tab/>
          </w:r>
          <w:r>
            <w:fldChar w:fldCharType="begin"/>
          </w:r>
          <w:r>
            <w:instrText xml:space="preserve"> PAGEREF _Toc11372 \h </w:instrText>
          </w:r>
          <w:r>
            <w:fldChar w:fldCharType="separate"/>
          </w:r>
          <w:r>
            <w:t>42</w:t>
          </w:r>
          <w:r>
            <w:fldChar w:fldCharType="end"/>
          </w:r>
          <w:r>
            <w:fldChar w:fldCharType="end"/>
          </w:r>
        </w:p>
        <w:p w14:paraId="1D03D4EE">
          <w:pPr>
            <w:pStyle w:val="25"/>
            <w:tabs>
              <w:tab w:val="right" w:leader="dot" w:pos="8612"/>
            </w:tabs>
          </w:pPr>
          <w:r>
            <w:fldChar w:fldCharType="begin"/>
          </w:r>
          <w:r>
            <w:instrText xml:space="preserve"> HYPERLINK \l _Toc12970 </w:instrText>
          </w:r>
          <w:r>
            <w:fldChar w:fldCharType="separate"/>
          </w:r>
          <w:r>
            <w:rPr>
              <w:rFonts w:ascii="Times New Roman" w:hAnsi="Times New Roman" w:eastAsia="黑体"/>
            </w:rPr>
            <w:t>四、数据利用不足</w:t>
          </w:r>
          <w:r>
            <w:tab/>
          </w:r>
          <w:r>
            <w:fldChar w:fldCharType="begin"/>
          </w:r>
          <w:r>
            <w:instrText xml:space="preserve"> PAGEREF _Toc12970 \h </w:instrText>
          </w:r>
          <w:r>
            <w:fldChar w:fldCharType="separate"/>
          </w:r>
          <w:r>
            <w:t>43</w:t>
          </w:r>
          <w:r>
            <w:fldChar w:fldCharType="end"/>
          </w:r>
          <w:r>
            <w:fldChar w:fldCharType="end"/>
          </w:r>
        </w:p>
        <w:p w14:paraId="28701F8C">
          <w:pPr>
            <w:pStyle w:val="28"/>
            <w:tabs>
              <w:tab w:val="right" w:leader="dot" w:pos="8612"/>
            </w:tabs>
          </w:pPr>
          <w:r>
            <w:fldChar w:fldCharType="begin"/>
          </w:r>
          <w:r>
            <w:instrText xml:space="preserve"> HYPERLINK \l _Toc6499 </w:instrText>
          </w:r>
          <w:r>
            <w:fldChar w:fldCharType="separate"/>
          </w:r>
          <w:r>
            <w:rPr>
              <w:rFonts w:ascii="Times New Roman" w:hAnsi="Times New Roman" w:eastAsia="黑体"/>
            </w:rPr>
            <w:t>第四章　服务流程优化研究</w:t>
          </w:r>
          <w:r>
            <w:tab/>
          </w:r>
          <w:r>
            <w:fldChar w:fldCharType="begin"/>
          </w:r>
          <w:r>
            <w:instrText xml:space="preserve"> PAGEREF _Toc6499 \h </w:instrText>
          </w:r>
          <w:r>
            <w:fldChar w:fldCharType="separate"/>
          </w:r>
          <w:r>
            <w:t>44</w:t>
          </w:r>
          <w:r>
            <w:fldChar w:fldCharType="end"/>
          </w:r>
          <w:r>
            <w:fldChar w:fldCharType="end"/>
          </w:r>
        </w:p>
        <w:p w14:paraId="6648C53B">
          <w:pPr>
            <w:pStyle w:val="31"/>
            <w:tabs>
              <w:tab w:val="right" w:leader="dot" w:pos="8612"/>
            </w:tabs>
          </w:pPr>
          <w:r>
            <w:fldChar w:fldCharType="begin"/>
          </w:r>
          <w:r>
            <w:instrText xml:space="preserve"> HYPERLINK \l _Toc31370 </w:instrText>
          </w:r>
          <w:r>
            <w:fldChar w:fldCharType="separate"/>
          </w:r>
          <w:r>
            <w:rPr>
              <w:rFonts w:ascii="Times New Roman" w:hAnsi="Times New Roman" w:eastAsia="黑体"/>
            </w:rPr>
            <w:t>第一节　研究设计</w:t>
          </w:r>
          <w:r>
            <w:tab/>
          </w:r>
          <w:r>
            <w:fldChar w:fldCharType="begin"/>
          </w:r>
          <w:r>
            <w:instrText xml:space="preserve"> PAGEREF _Toc31370 \h </w:instrText>
          </w:r>
          <w:r>
            <w:fldChar w:fldCharType="separate"/>
          </w:r>
          <w:r>
            <w:t>44</w:t>
          </w:r>
          <w:r>
            <w:fldChar w:fldCharType="end"/>
          </w:r>
          <w:r>
            <w:fldChar w:fldCharType="end"/>
          </w:r>
        </w:p>
        <w:p w14:paraId="257E62C9">
          <w:pPr>
            <w:pStyle w:val="25"/>
            <w:tabs>
              <w:tab w:val="right" w:leader="dot" w:pos="8612"/>
            </w:tabs>
          </w:pPr>
          <w:r>
            <w:fldChar w:fldCharType="begin"/>
          </w:r>
          <w:r>
            <w:instrText xml:space="preserve"> HYPERLINK \l _Toc21006 </w:instrText>
          </w:r>
          <w:r>
            <w:fldChar w:fldCharType="separate"/>
          </w:r>
          <w:r>
            <w:rPr>
              <w:rFonts w:ascii="Times New Roman" w:hAnsi="Times New Roman" w:eastAsia="黑体"/>
            </w:rPr>
            <w:t>一、过程分析法（Process Mining）应用设计</w:t>
          </w:r>
          <w:r>
            <w:tab/>
          </w:r>
          <w:r>
            <w:fldChar w:fldCharType="begin"/>
          </w:r>
          <w:r>
            <w:instrText xml:space="preserve"> PAGEREF _Toc21006 \h </w:instrText>
          </w:r>
          <w:r>
            <w:fldChar w:fldCharType="separate"/>
          </w:r>
          <w:r>
            <w:t>44</w:t>
          </w:r>
          <w:r>
            <w:fldChar w:fldCharType="end"/>
          </w:r>
          <w:r>
            <w:fldChar w:fldCharType="end"/>
          </w:r>
        </w:p>
        <w:p w14:paraId="59993E5D">
          <w:pPr>
            <w:pStyle w:val="25"/>
            <w:tabs>
              <w:tab w:val="right" w:leader="dot" w:pos="8612"/>
            </w:tabs>
          </w:pPr>
          <w:r>
            <w:fldChar w:fldCharType="begin"/>
          </w:r>
          <w:r>
            <w:instrText xml:space="preserve"> HYPERLINK \l _Toc27077 </w:instrText>
          </w:r>
          <w:r>
            <w:fldChar w:fldCharType="separate"/>
          </w:r>
          <w:r>
            <w:rPr>
              <w:rFonts w:ascii="Times New Roman" w:hAnsi="Times New Roman" w:eastAsia="黑体"/>
            </w:rPr>
            <w:t>二、层次分析法（AHP）应用设计</w:t>
          </w:r>
          <w:r>
            <w:tab/>
          </w:r>
          <w:r>
            <w:fldChar w:fldCharType="begin"/>
          </w:r>
          <w:r>
            <w:instrText xml:space="preserve"> PAGEREF _Toc27077 \h </w:instrText>
          </w:r>
          <w:r>
            <w:fldChar w:fldCharType="separate"/>
          </w:r>
          <w:r>
            <w:t>46</w:t>
          </w:r>
          <w:r>
            <w:fldChar w:fldCharType="end"/>
          </w:r>
          <w:r>
            <w:fldChar w:fldCharType="end"/>
          </w:r>
        </w:p>
        <w:p w14:paraId="22C0147C">
          <w:pPr>
            <w:pStyle w:val="25"/>
            <w:tabs>
              <w:tab w:val="right" w:leader="dot" w:pos="8612"/>
            </w:tabs>
          </w:pPr>
          <w:r>
            <w:fldChar w:fldCharType="begin"/>
          </w:r>
          <w:r>
            <w:instrText xml:space="preserve"> HYPERLINK \l _Toc23114 </w:instrText>
          </w:r>
          <w:r>
            <w:fldChar w:fldCharType="separate"/>
          </w:r>
          <w:r>
            <w:rPr>
              <w:rFonts w:ascii="Times New Roman" w:hAnsi="Times New Roman" w:eastAsia="黑体"/>
            </w:rPr>
            <w:t>三、服务蓝图法应用设计</w:t>
          </w:r>
          <w:r>
            <w:tab/>
          </w:r>
          <w:r>
            <w:fldChar w:fldCharType="begin"/>
          </w:r>
          <w:r>
            <w:instrText xml:space="preserve"> PAGEREF _Toc23114 \h </w:instrText>
          </w:r>
          <w:r>
            <w:fldChar w:fldCharType="separate"/>
          </w:r>
          <w:r>
            <w:t>49</w:t>
          </w:r>
          <w:r>
            <w:fldChar w:fldCharType="end"/>
          </w:r>
          <w:r>
            <w:fldChar w:fldCharType="end"/>
          </w:r>
        </w:p>
        <w:p w14:paraId="12FB1D0C">
          <w:pPr>
            <w:pStyle w:val="25"/>
            <w:tabs>
              <w:tab w:val="right" w:leader="dot" w:pos="8612"/>
            </w:tabs>
          </w:pPr>
          <w:r>
            <w:fldChar w:fldCharType="begin"/>
          </w:r>
          <w:r>
            <w:instrText xml:space="preserve"> HYPERLINK \l _Toc27244 </w:instrText>
          </w:r>
          <w:r>
            <w:fldChar w:fldCharType="separate"/>
          </w:r>
          <w:r>
            <w:rPr>
              <w:rFonts w:ascii="Times New Roman" w:hAnsi="Times New Roman" w:eastAsia="黑体"/>
            </w:rPr>
            <w:t>四、准实验设计</w:t>
          </w:r>
          <w:r>
            <w:tab/>
          </w:r>
          <w:r>
            <w:fldChar w:fldCharType="begin"/>
          </w:r>
          <w:r>
            <w:instrText xml:space="preserve"> PAGEREF _Toc27244 \h </w:instrText>
          </w:r>
          <w:r>
            <w:fldChar w:fldCharType="separate"/>
          </w:r>
          <w:r>
            <w:t>49</w:t>
          </w:r>
          <w:r>
            <w:fldChar w:fldCharType="end"/>
          </w:r>
          <w:r>
            <w:fldChar w:fldCharType="end"/>
          </w:r>
        </w:p>
        <w:p w14:paraId="76C3E744">
          <w:pPr>
            <w:pStyle w:val="31"/>
            <w:tabs>
              <w:tab w:val="right" w:leader="dot" w:pos="8612"/>
            </w:tabs>
          </w:pPr>
          <w:r>
            <w:fldChar w:fldCharType="begin"/>
          </w:r>
          <w:r>
            <w:instrText xml:space="preserve"> HYPERLINK \l _Toc15076 </w:instrText>
          </w:r>
          <w:r>
            <w:fldChar w:fldCharType="separate"/>
          </w:r>
          <w:r>
            <w:rPr>
              <w:rFonts w:ascii="Times New Roman" w:hAnsi="Times New Roman" w:eastAsia="黑体"/>
            </w:rPr>
            <w:t>第二节　数据分析与流程诊断</w:t>
          </w:r>
          <w:r>
            <w:tab/>
          </w:r>
          <w:r>
            <w:fldChar w:fldCharType="begin"/>
          </w:r>
          <w:r>
            <w:instrText xml:space="preserve"> PAGEREF _Toc15076 \h </w:instrText>
          </w:r>
          <w:r>
            <w:fldChar w:fldCharType="separate"/>
          </w:r>
          <w:r>
            <w:t>51</w:t>
          </w:r>
          <w:r>
            <w:fldChar w:fldCharType="end"/>
          </w:r>
          <w:r>
            <w:fldChar w:fldCharType="end"/>
          </w:r>
        </w:p>
        <w:p w14:paraId="574D3C3F">
          <w:pPr>
            <w:pStyle w:val="25"/>
            <w:tabs>
              <w:tab w:val="right" w:leader="dot" w:pos="8612"/>
            </w:tabs>
          </w:pPr>
          <w:r>
            <w:fldChar w:fldCharType="begin"/>
          </w:r>
          <w:r>
            <w:instrText xml:space="preserve"> HYPERLINK \l _Toc5396 </w:instrText>
          </w:r>
          <w:r>
            <w:fldChar w:fldCharType="separate"/>
          </w:r>
          <w:r>
            <w:rPr>
              <w:rFonts w:ascii="Times New Roman" w:hAnsi="Times New Roman" w:eastAsia="黑体"/>
            </w:rPr>
            <w:t>一、事件日志数据概览</w:t>
          </w:r>
          <w:r>
            <w:tab/>
          </w:r>
          <w:r>
            <w:fldChar w:fldCharType="begin"/>
          </w:r>
          <w:r>
            <w:instrText xml:space="preserve"> PAGEREF _Toc5396 \h </w:instrText>
          </w:r>
          <w:r>
            <w:fldChar w:fldCharType="separate"/>
          </w:r>
          <w:r>
            <w:t>51</w:t>
          </w:r>
          <w:r>
            <w:fldChar w:fldCharType="end"/>
          </w:r>
          <w:r>
            <w:fldChar w:fldCharType="end"/>
          </w:r>
        </w:p>
        <w:p w14:paraId="094CB412">
          <w:pPr>
            <w:pStyle w:val="25"/>
            <w:tabs>
              <w:tab w:val="right" w:leader="dot" w:pos="8612"/>
            </w:tabs>
          </w:pPr>
          <w:r>
            <w:fldChar w:fldCharType="begin"/>
          </w:r>
          <w:r>
            <w:instrText xml:space="preserve"> HYPERLINK \l _Toc31023 </w:instrText>
          </w:r>
          <w:r>
            <w:fldChar w:fldCharType="separate"/>
          </w:r>
          <w:r>
            <w:rPr>
              <w:rFonts w:ascii="Times New Roman" w:hAnsi="Times New Roman" w:eastAsia="黑体"/>
            </w:rPr>
            <w:t>二、基于Process Mining的流程发现</w:t>
          </w:r>
          <w:r>
            <w:tab/>
          </w:r>
          <w:r>
            <w:fldChar w:fldCharType="begin"/>
          </w:r>
          <w:r>
            <w:instrText xml:space="preserve"> PAGEREF _Toc31023 \h </w:instrText>
          </w:r>
          <w:r>
            <w:fldChar w:fldCharType="separate"/>
          </w:r>
          <w:r>
            <w:t>52</w:t>
          </w:r>
          <w:r>
            <w:fldChar w:fldCharType="end"/>
          </w:r>
          <w:r>
            <w:fldChar w:fldCharType="end"/>
          </w:r>
        </w:p>
        <w:p w14:paraId="3BFFC8CD">
          <w:pPr>
            <w:pStyle w:val="25"/>
            <w:tabs>
              <w:tab w:val="right" w:leader="dot" w:pos="8612"/>
            </w:tabs>
          </w:pPr>
          <w:r>
            <w:fldChar w:fldCharType="begin"/>
          </w:r>
          <w:r>
            <w:instrText xml:space="preserve"> HYPERLINK \l _Toc13450 </w:instrText>
          </w:r>
          <w:r>
            <w:fldChar w:fldCharType="separate"/>
          </w:r>
          <w:r>
            <w:rPr>
              <w:rFonts w:ascii="Times New Roman" w:hAnsi="Times New Roman" w:eastAsia="黑体"/>
            </w:rPr>
            <w:t>三、流程瓶颈定量分析</w:t>
          </w:r>
          <w:r>
            <w:tab/>
          </w:r>
          <w:r>
            <w:fldChar w:fldCharType="begin"/>
          </w:r>
          <w:r>
            <w:instrText xml:space="preserve"> PAGEREF _Toc13450 \h </w:instrText>
          </w:r>
          <w:r>
            <w:fldChar w:fldCharType="separate"/>
          </w:r>
          <w:r>
            <w:t>54</w:t>
          </w:r>
          <w:r>
            <w:fldChar w:fldCharType="end"/>
          </w:r>
          <w:r>
            <w:fldChar w:fldCharType="end"/>
          </w:r>
        </w:p>
        <w:p w14:paraId="70BB6085">
          <w:pPr>
            <w:pStyle w:val="31"/>
            <w:tabs>
              <w:tab w:val="right" w:leader="dot" w:pos="8612"/>
            </w:tabs>
          </w:pPr>
          <w:r>
            <w:fldChar w:fldCharType="begin"/>
          </w:r>
          <w:r>
            <w:instrText xml:space="preserve"> HYPERLINK \l _Toc19557 </w:instrText>
          </w:r>
          <w:r>
            <w:fldChar w:fldCharType="separate"/>
          </w:r>
          <w:r>
            <w:rPr>
              <w:rFonts w:ascii="Times New Roman" w:hAnsi="Times New Roman" w:eastAsia="黑体"/>
            </w:rPr>
            <w:t>第三节　基于AHP的瓶颈优先级评价</w:t>
          </w:r>
          <w:r>
            <w:tab/>
          </w:r>
          <w:r>
            <w:fldChar w:fldCharType="begin"/>
          </w:r>
          <w:r>
            <w:instrText xml:space="preserve"> PAGEREF _Toc19557 \h </w:instrText>
          </w:r>
          <w:r>
            <w:fldChar w:fldCharType="separate"/>
          </w:r>
          <w:r>
            <w:t>56</w:t>
          </w:r>
          <w:r>
            <w:fldChar w:fldCharType="end"/>
          </w:r>
          <w:r>
            <w:fldChar w:fldCharType="end"/>
          </w:r>
        </w:p>
        <w:p w14:paraId="4B1B65C7">
          <w:pPr>
            <w:pStyle w:val="25"/>
            <w:tabs>
              <w:tab w:val="right" w:leader="dot" w:pos="8612"/>
            </w:tabs>
          </w:pPr>
          <w:r>
            <w:fldChar w:fldCharType="begin"/>
          </w:r>
          <w:r>
            <w:instrText xml:space="preserve"> HYPERLINK \l _Toc25660 </w:instrText>
          </w:r>
          <w:r>
            <w:fldChar w:fldCharType="separate"/>
          </w:r>
          <w:r>
            <w:rPr>
              <w:rFonts w:ascii="Times New Roman" w:hAnsi="Times New Roman" w:eastAsia="黑体"/>
            </w:rPr>
            <w:t>一、判断矩阵构建</w:t>
          </w:r>
          <w:r>
            <w:tab/>
          </w:r>
          <w:r>
            <w:fldChar w:fldCharType="begin"/>
          </w:r>
          <w:r>
            <w:instrText xml:space="preserve"> PAGEREF _Toc25660 \h </w:instrText>
          </w:r>
          <w:r>
            <w:fldChar w:fldCharType="separate"/>
          </w:r>
          <w:r>
            <w:t>56</w:t>
          </w:r>
          <w:r>
            <w:fldChar w:fldCharType="end"/>
          </w:r>
          <w:r>
            <w:fldChar w:fldCharType="end"/>
          </w:r>
        </w:p>
        <w:p w14:paraId="2714B095">
          <w:pPr>
            <w:pStyle w:val="25"/>
            <w:tabs>
              <w:tab w:val="right" w:leader="dot" w:pos="8612"/>
            </w:tabs>
          </w:pPr>
          <w:r>
            <w:fldChar w:fldCharType="begin"/>
          </w:r>
          <w:r>
            <w:instrText xml:space="preserve"> HYPERLINK \l _Toc1776 </w:instrText>
          </w:r>
          <w:r>
            <w:fldChar w:fldCharType="separate"/>
          </w:r>
          <w:r>
            <w:rPr>
              <w:rFonts w:ascii="Times New Roman" w:hAnsi="Times New Roman" w:eastAsia="黑体"/>
            </w:rPr>
            <w:t>二、权重计算与一致性检验</w:t>
          </w:r>
          <w:r>
            <w:tab/>
          </w:r>
          <w:r>
            <w:fldChar w:fldCharType="begin"/>
          </w:r>
          <w:r>
            <w:instrText xml:space="preserve"> PAGEREF _Toc1776 \h </w:instrText>
          </w:r>
          <w:r>
            <w:fldChar w:fldCharType="separate"/>
          </w:r>
          <w:r>
            <w:t>57</w:t>
          </w:r>
          <w:r>
            <w:fldChar w:fldCharType="end"/>
          </w:r>
          <w:r>
            <w:fldChar w:fldCharType="end"/>
          </w:r>
        </w:p>
        <w:p w14:paraId="7640E7D0">
          <w:pPr>
            <w:pStyle w:val="25"/>
            <w:tabs>
              <w:tab w:val="right" w:leader="dot" w:pos="8612"/>
            </w:tabs>
          </w:pPr>
          <w:r>
            <w:fldChar w:fldCharType="begin"/>
          </w:r>
          <w:r>
            <w:instrText xml:space="preserve"> HYPERLINK \l _Toc1752 </w:instrText>
          </w:r>
          <w:r>
            <w:fldChar w:fldCharType="separate"/>
          </w:r>
          <w:r>
            <w:rPr>
              <w:rFonts w:ascii="Times New Roman" w:hAnsi="Times New Roman" w:eastAsia="黑体"/>
            </w:rPr>
            <w:t>三、瓶颈环节排序与优先改进领域</w:t>
          </w:r>
          <w:r>
            <w:tab/>
          </w:r>
          <w:r>
            <w:fldChar w:fldCharType="begin"/>
          </w:r>
          <w:r>
            <w:instrText xml:space="preserve"> PAGEREF _Toc1752 \h </w:instrText>
          </w:r>
          <w:r>
            <w:fldChar w:fldCharType="separate"/>
          </w:r>
          <w:r>
            <w:t>57</w:t>
          </w:r>
          <w:r>
            <w:fldChar w:fldCharType="end"/>
          </w:r>
          <w:r>
            <w:fldChar w:fldCharType="end"/>
          </w:r>
        </w:p>
        <w:p w14:paraId="0BC1B408">
          <w:pPr>
            <w:pStyle w:val="31"/>
            <w:tabs>
              <w:tab w:val="right" w:leader="dot" w:pos="8612"/>
            </w:tabs>
          </w:pPr>
          <w:r>
            <w:fldChar w:fldCharType="begin"/>
          </w:r>
          <w:r>
            <w:instrText xml:space="preserve"> HYPERLINK \l _Toc6920 </w:instrText>
          </w:r>
          <w:r>
            <w:fldChar w:fldCharType="separate"/>
          </w:r>
          <w:r>
            <w:rPr>
              <w:rFonts w:ascii="Times New Roman" w:hAnsi="Times New Roman" w:eastAsia="黑体"/>
            </w:rPr>
            <w:t>第四节　服务蓝图与优化方案</w:t>
          </w:r>
          <w:r>
            <w:tab/>
          </w:r>
          <w:r>
            <w:fldChar w:fldCharType="begin"/>
          </w:r>
          <w:r>
            <w:instrText xml:space="preserve"> PAGEREF _Toc6920 \h </w:instrText>
          </w:r>
          <w:r>
            <w:fldChar w:fldCharType="separate"/>
          </w:r>
          <w:r>
            <w:t>59</w:t>
          </w:r>
          <w:r>
            <w:fldChar w:fldCharType="end"/>
          </w:r>
          <w:r>
            <w:fldChar w:fldCharType="end"/>
          </w:r>
        </w:p>
        <w:p w14:paraId="6306EC29">
          <w:pPr>
            <w:pStyle w:val="25"/>
            <w:tabs>
              <w:tab w:val="right" w:leader="dot" w:pos="8612"/>
            </w:tabs>
          </w:pPr>
          <w:r>
            <w:fldChar w:fldCharType="begin"/>
          </w:r>
          <w:r>
            <w:instrText xml:space="preserve"> HYPERLINK \l _Toc32492 </w:instrText>
          </w:r>
          <w:r>
            <w:fldChar w:fldCharType="separate"/>
          </w:r>
          <w:r>
            <w:rPr>
              <w:rFonts w:ascii="Times New Roman" w:hAnsi="Times New Roman" w:eastAsia="黑体"/>
            </w:rPr>
            <w:t>一、现状服务蓝图（含断点标注）</w:t>
          </w:r>
          <w:r>
            <w:tab/>
          </w:r>
          <w:r>
            <w:fldChar w:fldCharType="begin"/>
          </w:r>
          <w:r>
            <w:instrText xml:space="preserve"> PAGEREF _Toc32492 \h </w:instrText>
          </w:r>
          <w:r>
            <w:fldChar w:fldCharType="separate"/>
          </w:r>
          <w:r>
            <w:t>60</w:t>
          </w:r>
          <w:r>
            <w:fldChar w:fldCharType="end"/>
          </w:r>
          <w:r>
            <w:fldChar w:fldCharType="end"/>
          </w:r>
        </w:p>
        <w:p w14:paraId="1275B32E">
          <w:pPr>
            <w:pStyle w:val="25"/>
            <w:tabs>
              <w:tab w:val="right" w:leader="dot" w:pos="8612"/>
            </w:tabs>
          </w:pPr>
          <w:r>
            <w:fldChar w:fldCharType="begin"/>
          </w:r>
          <w:r>
            <w:instrText xml:space="preserve"> HYPERLINK \l _Toc7507 </w:instrText>
          </w:r>
          <w:r>
            <w:fldChar w:fldCharType="separate"/>
          </w:r>
          <w:r>
            <w:rPr>
              <w:rFonts w:ascii="Times New Roman" w:hAnsi="Times New Roman" w:eastAsia="黑体"/>
            </w:rPr>
            <w:t>二、线上线下一体化流程再造</w:t>
          </w:r>
          <w:r>
            <w:tab/>
          </w:r>
          <w:r>
            <w:fldChar w:fldCharType="begin"/>
          </w:r>
          <w:r>
            <w:instrText xml:space="preserve"> PAGEREF _Toc7507 \h </w:instrText>
          </w:r>
          <w:r>
            <w:fldChar w:fldCharType="separate"/>
          </w:r>
          <w:r>
            <w:t>61</w:t>
          </w:r>
          <w:r>
            <w:fldChar w:fldCharType="end"/>
          </w:r>
          <w:r>
            <w:fldChar w:fldCharType="end"/>
          </w:r>
        </w:p>
        <w:p w14:paraId="335F8839">
          <w:pPr>
            <w:pStyle w:val="25"/>
            <w:tabs>
              <w:tab w:val="right" w:leader="dot" w:pos="8612"/>
            </w:tabs>
          </w:pPr>
          <w:r>
            <w:fldChar w:fldCharType="begin"/>
          </w:r>
          <w:r>
            <w:instrText xml:space="preserve"> HYPERLINK \l _Toc8595 </w:instrText>
          </w:r>
          <w:r>
            <w:fldChar w:fldCharType="separate"/>
          </w:r>
          <w:r>
            <w:rPr>
              <w:rFonts w:ascii="Times New Roman" w:hAnsi="Times New Roman" w:eastAsia="黑体"/>
            </w:rPr>
            <w:t>三、多院区协同机制设计</w:t>
          </w:r>
          <w:r>
            <w:tab/>
          </w:r>
          <w:r>
            <w:fldChar w:fldCharType="begin"/>
          </w:r>
          <w:r>
            <w:instrText xml:space="preserve"> PAGEREF _Toc8595 \h </w:instrText>
          </w:r>
          <w:r>
            <w:fldChar w:fldCharType="separate"/>
          </w:r>
          <w:r>
            <w:t>64</w:t>
          </w:r>
          <w:r>
            <w:fldChar w:fldCharType="end"/>
          </w:r>
          <w:r>
            <w:fldChar w:fldCharType="end"/>
          </w:r>
        </w:p>
        <w:p w14:paraId="6D154704">
          <w:pPr>
            <w:pStyle w:val="25"/>
            <w:tabs>
              <w:tab w:val="right" w:leader="dot" w:pos="8612"/>
            </w:tabs>
          </w:pPr>
          <w:r>
            <w:fldChar w:fldCharType="begin"/>
          </w:r>
          <w:r>
            <w:instrText xml:space="preserve"> HYPERLINK \l _Toc32100 </w:instrText>
          </w:r>
          <w:r>
            <w:fldChar w:fldCharType="separate"/>
          </w:r>
          <w:r>
            <w:rPr>
              <w:rFonts w:ascii="Times New Roman" w:hAnsi="Times New Roman" w:eastAsia="黑体"/>
            </w:rPr>
            <w:t>四、数据驱动的智能质控体系</w:t>
          </w:r>
          <w:r>
            <w:tab/>
          </w:r>
          <w:r>
            <w:fldChar w:fldCharType="begin"/>
          </w:r>
          <w:r>
            <w:instrText xml:space="preserve"> PAGEREF _Toc32100 \h </w:instrText>
          </w:r>
          <w:r>
            <w:fldChar w:fldCharType="separate"/>
          </w:r>
          <w:r>
            <w:t>66</w:t>
          </w:r>
          <w:r>
            <w:fldChar w:fldCharType="end"/>
          </w:r>
          <w:r>
            <w:fldChar w:fldCharType="end"/>
          </w:r>
        </w:p>
        <w:p w14:paraId="302533D0">
          <w:pPr>
            <w:pStyle w:val="25"/>
            <w:tabs>
              <w:tab w:val="right" w:leader="dot" w:pos="8612"/>
            </w:tabs>
          </w:pPr>
          <w:r>
            <w:fldChar w:fldCharType="begin"/>
          </w:r>
          <w:r>
            <w:instrText xml:space="preserve"> HYPERLINK \l _Toc23406 </w:instrText>
          </w:r>
          <w:r>
            <w:fldChar w:fldCharType="separate"/>
          </w:r>
          <w:r>
            <w:rPr>
              <w:rFonts w:ascii="Times New Roman" w:hAnsi="Times New Roman" w:eastAsia="黑体"/>
            </w:rPr>
            <w:t>五、优化后服务蓝图</w:t>
          </w:r>
          <w:r>
            <w:tab/>
          </w:r>
          <w:r>
            <w:fldChar w:fldCharType="begin"/>
          </w:r>
          <w:r>
            <w:instrText xml:space="preserve"> PAGEREF _Toc23406 \h </w:instrText>
          </w:r>
          <w:r>
            <w:fldChar w:fldCharType="separate"/>
          </w:r>
          <w:r>
            <w:t>67</w:t>
          </w:r>
          <w:r>
            <w:fldChar w:fldCharType="end"/>
          </w:r>
          <w:r>
            <w:fldChar w:fldCharType="end"/>
          </w:r>
        </w:p>
        <w:p w14:paraId="20BD067F">
          <w:pPr>
            <w:pStyle w:val="31"/>
            <w:tabs>
              <w:tab w:val="right" w:leader="dot" w:pos="8612"/>
            </w:tabs>
          </w:pPr>
          <w:r>
            <w:fldChar w:fldCharType="begin"/>
          </w:r>
          <w:r>
            <w:instrText xml:space="preserve"> HYPERLINK \l _Toc11083 </w:instrText>
          </w:r>
          <w:r>
            <w:fldChar w:fldCharType="separate"/>
          </w:r>
          <w:r>
            <w:rPr>
              <w:rFonts w:ascii="Times New Roman" w:hAnsi="Times New Roman" w:eastAsia="黑体"/>
            </w:rPr>
            <w:t>第五节　试点验证与效果评估</w:t>
          </w:r>
          <w:r>
            <w:tab/>
          </w:r>
          <w:r>
            <w:fldChar w:fldCharType="begin"/>
          </w:r>
          <w:r>
            <w:instrText xml:space="preserve"> PAGEREF _Toc11083 \h </w:instrText>
          </w:r>
          <w:r>
            <w:fldChar w:fldCharType="separate"/>
          </w:r>
          <w:r>
            <w:t>67</w:t>
          </w:r>
          <w:r>
            <w:fldChar w:fldCharType="end"/>
          </w:r>
          <w:r>
            <w:fldChar w:fldCharType="end"/>
          </w:r>
        </w:p>
        <w:p w14:paraId="372C6DD5">
          <w:pPr>
            <w:pStyle w:val="25"/>
            <w:tabs>
              <w:tab w:val="right" w:leader="dot" w:pos="8612"/>
            </w:tabs>
          </w:pPr>
          <w:r>
            <w:fldChar w:fldCharType="begin"/>
          </w:r>
          <w:r>
            <w:instrText xml:space="preserve"> HYPERLINK \l _Toc632 </w:instrText>
          </w:r>
          <w:r>
            <w:fldChar w:fldCharType="separate"/>
          </w:r>
          <w:r>
            <w:rPr>
              <w:rFonts w:ascii="Times New Roman" w:hAnsi="Times New Roman" w:eastAsia="黑体"/>
            </w:rPr>
            <w:t>一、试点实施过程</w:t>
          </w:r>
          <w:r>
            <w:tab/>
          </w:r>
          <w:r>
            <w:fldChar w:fldCharType="begin"/>
          </w:r>
          <w:r>
            <w:instrText xml:space="preserve"> PAGEREF _Toc632 \h </w:instrText>
          </w:r>
          <w:r>
            <w:fldChar w:fldCharType="separate"/>
          </w:r>
          <w:r>
            <w:t>68</w:t>
          </w:r>
          <w:r>
            <w:fldChar w:fldCharType="end"/>
          </w:r>
          <w:r>
            <w:fldChar w:fldCharType="end"/>
          </w:r>
        </w:p>
        <w:p w14:paraId="510C8563">
          <w:pPr>
            <w:pStyle w:val="25"/>
            <w:tabs>
              <w:tab w:val="right" w:leader="dot" w:pos="8612"/>
            </w:tabs>
          </w:pPr>
          <w:r>
            <w:fldChar w:fldCharType="begin"/>
          </w:r>
          <w:r>
            <w:instrText xml:space="preserve"> HYPERLINK \l _Toc23190 </w:instrText>
          </w:r>
          <w:r>
            <w:fldChar w:fldCharType="separate"/>
          </w:r>
          <w:r>
            <w:rPr>
              <w:rFonts w:ascii="Times New Roman" w:hAnsi="Times New Roman" w:eastAsia="黑体"/>
            </w:rPr>
            <w:t>二、准实验对比分析</w:t>
          </w:r>
          <w:r>
            <w:tab/>
          </w:r>
          <w:r>
            <w:fldChar w:fldCharType="begin"/>
          </w:r>
          <w:r>
            <w:instrText xml:space="preserve"> PAGEREF _Toc23190 \h </w:instrText>
          </w:r>
          <w:r>
            <w:fldChar w:fldCharType="separate"/>
          </w:r>
          <w:r>
            <w:t>69</w:t>
          </w:r>
          <w:r>
            <w:fldChar w:fldCharType="end"/>
          </w:r>
          <w:r>
            <w:fldChar w:fldCharType="end"/>
          </w:r>
        </w:p>
        <w:p w14:paraId="0C25F485">
          <w:pPr>
            <w:pStyle w:val="25"/>
            <w:tabs>
              <w:tab w:val="right" w:leader="dot" w:pos="8612"/>
            </w:tabs>
          </w:pPr>
          <w:r>
            <w:fldChar w:fldCharType="begin"/>
          </w:r>
          <w:r>
            <w:instrText xml:space="preserve"> HYPERLINK \l _Toc25468 </w:instrText>
          </w:r>
          <w:r>
            <w:fldChar w:fldCharType="separate"/>
          </w:r>
          <w:r>
            <w:rPr>
              <w:rFonts w:ascii="Times New Roman" w:hAnsi="Times New Roman" w:eastAsia="黑体"/>
            </w:rPr>
            <w:t>三、基于AHP的综合效果评价</w:t>
          </w:r>
          <w:r>
            <w:tab/>
          </w:r>
          <w:r>
            <w:fldChar w:fldCharType="begin"/>
          </w:r>
          <w:r>
            <w:instrText xml:space="preserve"> PAGEREF _Toc25468 \h </w:instrText>
          </w:r>
          <w:r>
            <w:fldChar w:fldCharType="separate"/>
          </w:r>
          <w:r>
            <w:t>72</w:t>
          </w:r>
          <w:r>
            <w:fldChar w:fldCharType="end"/>
          </w:r>
          <w:r>
            <w:fldChar w:fldCharType="end"/>
          </w:r>
        </w:p>
        <w:p w14:paraId="252B2AFD">
          <w:pPr>
            <w:pStyle w:val="25"/>
            <w:tabs>
              <w:tab w:val="right" w:leader="dot" w:pos="8612"/>
            </w:tabs>
          </w:pPr>
          <w:r>
            <w:fldChar w:fldCharType="begin"/>
          </w:r>
          <w:r>
            <w:instrText xml:space="preserve"> HYPERLINK \l _Toc22135 </w:instrText>
          </w:r>
          <w:r>
            <w:fldChar w:fldCharType="separate"/>
          </w:r>
          <w:r>
            <w:rPr>
              <w:rFonts w:ascii="Times New Roman" w:hAnsi="Times New Roman" w:eastAsia="黑体"/>
            </w:rPr>
            <w:t>四、优化效果讨论</w:t>
          </w:r>
          <w:r>
            <w:tab/>
          </w:r>
          <w:r>
            <w:fldChar w:fldCharType="begin"/>
          </w:r>
          <w:r>
            <w:instrText xml:space="preserve"> PAGEREF _Toc22135 \h </w:instrText>
          </w:r>
          <w:r>
            <w:fldChar w:fldCharType="separate"/>
          </w:r>
          <w:r>
            <w:t>73</w:t>
          </w:r>
          <w:r>
            <w:fldChar w:fldCharType="end"/>
          </w:r>
          <w:r>
            <w:fldChar w:fldCharType="end"/>
          </w:r>
        </w:p>
        <w:p w14:paraId="4758BAD8">
          <w:pPr>
            <w:pStyle w:val="28"/>
            <w:tabs>
              <w:tab w:val="right" w:leader="dot" w:pos="8612"/>
            </w:tabs>
          </w:pPr>
          <w:r>
            <w:fldChar w:fldCharType="begin"/>
          </w:r>
          <w:r>
            <w:instrText xml:space="preserve"> HYPERLINK \l _Toc20531 </w:instrText>
          </w:r>
          <w:r>
            <w:fldChar w:fldCharType="separate"/>
          </w:r>
          <w:r>
            <w:rPr>
              <w:rFonts w:ascii="Times New Roman" w:hAnsi="Times New Roman" w:eastAsia="黑体"/>
            </w:rPr>
            <w:t>第五章　结论与展望</w:t>
          </w:r>
          <w:r>
            <w:tab/>
          </w:r>
          <w:r>
            <w:fldChar w:fldCharType="begin"/>
          </w:r>
          <w:r>
            <w:instrText xml:space="preserve"> PAGEREF _Toc20531 \h </w:instrText>
          </w:r>
          <w:r>
            <w:fldChar w:fldCharType="separate"/>
          </w:r>
          <w:r>
            <w:t>75</w:t>
          </w:r>
          <w:r>
            <w:fldChar w:fldCharType="end"/>
          </w:r>
          <w:r>
            <w:fldChar w:fldCharType="end"/>
          </w:r>
        </w:p>
        <w:p w14:paraId="61663A67">
          <w:pPr>
            <w:pStyle w:val="31"/>
            <w:tabs>
              <w:tab w:val="right" w:leader="dot" w:pos="8612"/>
            </w:tabs>
          </w:pPr>
          <w:r>
            <w:fldChar w:fldCharType="begin"/>
          </w:r>
          <w:r>
            <w:instrText xml:space="preserve"> HYPERLINK \l _Toc14308 </w:instrText>
          </w:r>
          <w:r>
            <w:fldChar w:fldCharType="separate"/>
          </w:r>
          <w:r>
            <w:rPr>
              <w:rFonts w:ascii="Times New Roman" w:hAnsi="Times New Roman" w:eastAsia="黑体"/>
            </w:rPr>
            <w:t>第一节　研究结论</w:t>
          </w:r>
          <w:r>
            <w:tab/>
          </w:r>
          <w:r>
            <w:fldChar w:fldCharType="begin"/>
          </w:r>
          <w:r>
            <w:instrText xml:space="preserve"> PAGEREF _Toc14308 \h </w:instrText>
          </w:r>
          <w:r>
            <w:fldChar w:fldCharType="separate"/>
          </w:r>
          <w:r>
            <w:t>75</w:t>
          </w:r>
          <w:r>
            <w:fldChar w:fldCharType="end"/>
          </w:r>
          <w:r>
            <w:fldChar w:fldCharType="end"/>
          </w:r>
        </w:p>
        <w:p w14:paraId="43E88723">
          <w:pPr>
            <w:pStyle w:val="25"/>
            <w:tabs>
              <w:tab w:val="right" w:leader="dot" w:pos="8612"/>
            </w:tabs>
          </w:pPr>
          <w:r>
            <w:fldChar w:fldCharType="begin"/>
          </w:r>
          <w:r>
            <w:instrText xml:space="preserve"> HYPERLINK \l _Toc23380 </w:instrText>
          </w:r>
          <w:r>
            <w:fldChar w:fldCharType="separate"/>
          </w:r>
          <w:r>
            <w:rPr>
              <w:rFonts w:ascii="Times New Roman" w:hAnsi="Times New Roman" w:eastAsia="黑体"/>
            </w:rPr>
            <w:t>一、三个核心问题的回答</w:t>
          </w:r>
          <w:r>
            <w:tab/>
          </w:r>
          <w:r>
            <w:fldChar w:fldCharType="begin"/>
          </w:r>
          <w:r>
            <w:instrText xml:space="preserve"> PAGEREF _Toc23380 \h </w:instrText>
          </w:r>
          <w:r>
            <w:fldChar w:fldCharType="separate"/>
          </w:r>
          <w:r>
            <w:t>75</w:t>
          </w:r>
          <w:r>
            <w:fldChar w:fldCharType="end"/>
          </w:r>
          <w:r>
            <w:fldChar w:fldCharType="end"/>
          </w:r>
        </w:p>
        <w:p w14:paraId="4707D294">
          <w:pPr>
            <w:pStyle w:val="25"/>
            <w:tabs>
              <w:tab w:val="right" w:leader="dot" w:pos="8612"/>
            </w:tabs>
          </w:pPr>
          <w:r>
            <w:fldChar w:fldCharType="begin"/>
          </w:r>
          <w:r>
            <w:instrText xml:space="preserve"> HYPERLINK \l _Toc5612 </w:instrText>
          </w:r>
          <w:r>
            <w:fldChar w:fldCharType="separate"/>
          </w:r>
          <w:r>
            <w:rPr>
              <w:rFonts w:ascii="Times New Roman" w:hAnsi="Times New Roman" w:eastAsia="黑体"/>
            </w:rPr>
            <w:t>二、主要研究发现</w:t>
          </w:r>
          <w:r>
            <w:tab/>
          </w:r>
          <w:r>
            <w:fldChar w:fldCharType="begin"/>
          </w:r>
          <w:r>
            <w:instrText xml:space="preserve"> PAGEREF _Toc5612 \h </w:instrText>
          </w:r>
          <w:r>
            <w:fldChar w:fldCharType="separate"/>
          </w:r>
          <w:r>
            <w:t>76</w:t>
          </w:r>
          <w:r>
            <w:fldChar w:fldCharType="end"/>
          </w:r>
          <w:r>
            <w:fldChar w:fldCharType="end"/>
          </w:r>
        </w:p>
        <w:p w14:paraId="41D6E5DE">
          <w:pPr>
            <w:pStyle w:val="31"/>
            <w:tabs>
              <w:tab w:val="right" w:leader="dot" w:pos="8612"/>
            </w:tabs>
          </w:pPr>
          <w:r>
            <w:fldChar w:fldCharType="begin"/>
          </w:r>
          <w:r>
            <w:instrText xml:space="preserve"> HYPERLINK \l _Toc6682 </w:instrText>
          </w:r>
          <w:r>
            <w:fldChar w:fldCharType="separate"/>
          </w:r>
          <w:r>
            <w:rPr>
              <w:rFonts w:ascii="Times New Roman" w:hAnsi="Times New Roman" w:eastAsia="黑体"/>
            </w:rPr>
            <w:t>第二节　理论贡献与管理启示</w:t>
          </w:r>
          <w:r>
            <w:tab/>
          </w:r>
          <w:r>
            <w:fldChar w:fldCharType="begin"/>
          </w:r>
          <w:r>
            <w:instrText xml:space="preserve"> PAGEREF _Toc6682 \h </w:instrText>
          </w:r>
          <w:r>
            <w:fldChar w:fldCharType="separate"/>
          </w:r>
          <w:r>
            <w:t>77</w:t>
          </w:r>
          <w:r>
            <w:fldChar w:fldCharType="end"/>
          </w:r>
          <w:r>
            <w:fldChar w:fldCharType="end"/>
          </w:r>
        </w:p>
        <w:p w14:paraId="77A8CA68">
          <w:pPr>
            <w:pStyle w:val="25"/>
            <w:tabs>
              <w:tab w:val="right" w:leader="dot" w:pos="8612"/>
            </w:tabs>
          </w:pPr>
          <w:r>
            <w:fldChar w:fldCharType="begin"/>
          </w:r>
          <w:r>
            <w:instrText xml:space="preserve"> HYPERLINK \l _Toc18848 </w:instrText>
          </w:r>
          <w:r>
            <w:fldChar w:fldCharType="separate"/>
          </w:r>
          <w:r>
            <w:rPr>
              <w:rFonts w:ascii="Times New Roman" w:hAnsi="Times New Roman" w:eastAsia="黑体"/>
            </w:rPr>
            <w:t>一、学术贡献</w:t>
          </w:r>
          <w:r>
            <w:tab/>
          </w:r>
          <w:r>
            <w:fldChar w:fldCharType="begin"/>
          </w:r>
          <w:r>
            <w:instrText xml:space="preserve"> PAGEREF _Toc18848 \h </w:instrText>
          </w:r>
          <w:r>
            <w:fldChar w:fldCharType="separate"/>
          </w:r>
          <w:r>
            <w:t>77</w:t>
          </w:r>
          <w:r>
            <w:fldChar w:fldCharType="end"/>
          </w:r>
          <w:r>
            <w:fldChar w:fldCharType="end"/>
          </w:r>
        </w:p>
        <w:p w14:paraId="39754BFB">
          <w:pPr>
            <w:pStyle w:val="25"/>
            <w:tabs>
              <w:tab w:val="right" w:leader="dot" w:pos="8612"/>
            </w:tabs>
          </w:pPr>
          <w:r>
            <w:fldChar w:fldCharType="begin"/>
          </w:r>
          <w:r>
            <w:instrText xml:space="preserve"> HYPERLINK \l _Toc16143 </w:instrText>
          </w:r>
          <w:r>
            <w:fldChar w:fldCharType="separate"/>
          </w:r>
          <w:r>
            <w:rPr>
              <w:rFonts w:ascii="Times New Roman" w:hAnsi="Times New Roman" w:eastAsia="黑体"/>
            </w:rPr>
            <w:t>二、管理启示</w:t>
          </w:r>
          <w:r>
            <w:tab/>
          </w:r>
          <w:r>
            <w:fldChar w:fldCharType="begin"/>
          </w:r>
          <w:r>
            <w:instrText xml:space="preserve"> PAGEREF _Toc16143 \h </w:instrText>
          </w:r>
          <w:r>
            <w:fldChar w:fldCharType="separate"/>
          </w:r>
          <w:r>
            <w:t>78</w:t>
          </w:r>
          <w:r>
            <w:fldChar w:fldCharType="end"/>
          </w:r>
          <w:r>
            <w:fldChar w:fldCharType="end"/>
          </w:r>
        </w:p>
        <w:p w14:paraId="6AFD85B0">
          <w:pPr>
            <w:pStyle w:val="31"/>
            <w:tabs>
              <w:tab w:val="right" w:leader="dot" w:pos="8612"/>
            </w:tabs>
          </w:pPr>
          <w:r>
            <w:fldChar w:fldCharType="begin"/>
          </w:r>
          <w:r>
            <w:instrText xml:space="preserve"> HYPERLINK \l _Toc27188 </w:instrText>
          </w:r>
          <w:r>
            <w:fldChar w:fldCharType="separate"/>
          </w:r>
          <w:r>
            <w:rPr>
              <w:rFonts w:ascii="Times New Roman" w:hAnsi="Times New Roman" w:eastAsia="黑体"/>
            </w:rPr>
            <w:t>第三节　研究局限与未来展望</w:t>
          </w:r>
          <w:r>
            <w:tab/>
          </w:r>
          <w:r>
            <w:fldChar w:fldCharType="begin"/>
          </w:r>
          <w:r>
            <w:instrText xml:space="preserve"> PAGEREF _Toc27188 \h </w:instrText>
          </w:r>
          <w:r>
            <w:fldChar w:fldCharType="separate"/>
          </w:r>
          <w:r>
            <w:t>80</w:t>
          </w:r>
          <w:r>
            <w:fldChar w:fldCharType="end"/>
          </w:r>
          <w:r>
            <w:fldChar w:fldCharType="end"/>
          </w:r>
        </w:p>
        <w:p w14:paraId="4546A8F7">
          <w:pPr>
            <w:pStyle w:val="25"/>
            <w:tabs>
              <w:tab w:val="right" w:leader="dot" w:pos="8612"/>
            </w:tabs>
          </w:pPr>
          <w:r>
            <w:fldChar w:fldCharType="begin"/>
          </w:r>
          <w:r>
            <w:instrText xml:space="preserve"> HYPERLINK \l _Toc16411 </w:instrText>
          </w:r>
          <w:r>
            <w:fldChar w:fldCharType="separate"/>
          </w:r>
          <w:r>
            <w:rPr>
              <w:rFonts w:ascii="Times New Roman" w:hAnsi="Times New Roman" w:eastAsia="黑体"/>
            </w:rPr>
            <w:t>一、研究局限</w:t>
          </w:r>
          <w:r>
            <w:tab/>
          </w:r>
          <w:r>
            <w:fldChar w:fldCharType="begin"/>
          </w:r>
          <w:r>
            <w:instrText xml:space="preserve"> PAGEREF _Toc16411 \h </w:instrText>
          </w:r>
          <w:r>
            <w:fldChar w:fldCharType="separate"/>
          </w:r>
          <w:r>
            <w:t>80</w:t>
          </w:r>
          <w:r>
            <w:fldChar w:fldCharType="end"/>
          </w:r>
          <w:r>
            <w:fldChar w:fldCharType="end"/>
          </w:r>
        </w:p>
        <w:p w14:paraId="31A6F079">
          <w:pPr>
            <w:pStyle w:val="25"/>
            <w:tabs>
              <w:tab w:val="right" w:leader="dot" w:pos="8612"/>
            </w:tabs>
          </w:pPr>
          <w:r>
            <w:fldChar w:fldCharType="begin"/>
          </w:r>
          <w:r>
            <w:instrText xml:space="preserve"> HYPERLINK \l _Toc2894 </w:instrText>
          </w:r>
          <w:r>
            <w:fldChar w:fldCharType="separate"/>
          </w:r>
          <w:r>
            <w:rPr>
              <w:rFonts w:ascii="Times New Roman" w:hAnsi="Times New Roman" w:eastAsia="黑体"/>
            </w:rPr>
            <w:t>二、未来展望</w:t>
          </w:r>
          <w:r>
            <w:tab/>
          </w:r>
          <w:r>
            <w:fldChar w:fldCharType="begin"/>
          </w:r>
          <w:r>
            <w:instrText xml:space="preserve"> PAGEREF _Toc2894 \h </w:instrText>
          </w:r>
          <w:r>
            <w:fldChar w:fldCharType="separate"/>
          </w:r>
          <w:r>
            <w:t>81</w:t>
          </w:r>
          <w:r>
            <w:fldChar w:fldCharType="end"/>
          </w:r>
          <w:r>
            <w:fldChar w:fldCharType="end"/>
          </w:r>
        </w:p>
        <w:p w14:paraId="3BDE9A1B">
          <w:pPr>
            <w:pStyle w:val="28"/>
            <w:tabs>
              <w:tab w:val="right" w:leader="dot" w:pos="8612"/>
            </w:tabs>
          </w:pPr>
          <w:r>
            <w:fldChar w:fldCharType="begin"/>
          </w:r>
          <w:r>
            <w:instrText xml:space="preserve"> HYPERLINK \l _Toc2606 </w:instrText>
          </w:r>
          <w:r>
            <w:fldChar w:fldCharType="separate"/>
          </w:r>
          <w:r>
            <w:rPr>
              <w:rFonts w:ascii="Times New Roman" w:hAnsi="Times New Roman" w:eastAsia="黑体"/>
            </w:rPr>
            <w:t>参考文献</w:t>
          </w:r>
          <w:r>
            <w:tab/>
          </w:r>
          <w:r>
            <w:fldChar w:fldCharType="begin"/>
          </w:r>
          <w:r>
            <w:instrText xml:space="preserve"> PAGEREF _Toc2606 \h </w:instrText>
          </w:r>
          <w:r>
            <w:fldChar w:fldCharType="separate"/>
          </w:r>
          <w:r>
            <w:t>82</w:t>
          </w:r>
          <w:r>
            <w:fldChar w:fldCharType="end"/>
          </w:r>
          <w:r>
            <w:fldChar w:fldCharType="end"/>
          </w:r>
        </w:p>
        <w:p w14:paraId="29352934">
          <w:pPr>
            <w:pStyle w:val="31"/>
            <w:tabs>
              <w:tab w:val="right" w:leader="dot" w:pos="8612"/>
            </w:tabs>
          </w:pPr>
          <w:r>
            <w:fldChar w:fldCharType="begin"/>
          </w:r>
          <w:r>
            <w:instrText xml:space="preserve"> HYPERLINK \l _Toc22166 </w:instrText>
          </w:r>
          <w:r>
            <w:fldChar w:fldCharType="separate"/>
          </w:r>
          <w:r>
            <w:rPr>
              <w:rFonts w:ascii="Times New Roman" w:hAnsi="Times New Roman" w:eastAsia="黑体"/>
            </w:rPr>
            <w:t>中文文献</w:t>
          </w:r>
          <w:r>
            <w:tab/>
          </w:r>
          <w:r>
            <w:fldChar w:fldCharType="begin"/>
          </w:r>
          <w:r>
            <w:instrText xml:space="preserve"> PAGEREF _Toc22166 \h </w:instrText>
          </w:r>
          <w:r>
            <w:fldChar w:fldCharType="separate"/>
          </w:r>
          <w:r>
            <w:t>82</w:t>
          </w:r>
          <w:r>
            <w:fldChar w:fldCharType="end"/>
          </w:r>
          <w:r>
            <w:fldChar w:fldCharType="end"/>
          </w:r>
        </w:p>
        <w:p w14:paraId="03E934E4">
          <w:pPr>
            <w:pStyle w:val="31"/>
            <w:tabs>
              <w:tab w:val="right" w:leader="dot" w:pos="8612"/>
            </w:tabs>
          </w:pPr>
          <w:r>
            <w:fldChar w:fldCharType="begin"/>
          </w:r>
          <w:r>
            <w:instrText xml:space="preserve"> HYPERLINK \l _Toc5875 </w:instrText>
          </w:r>
          <w:r>
            <w:fldChar w:fldCharType="separate"/>
          </w:r>
          <w:r>
            <w:rPr>
              <w:rFonts w:ascii="Times New Roman" w:hAnsi="Times New Roman" w:eastAsia="黑体"/>
            </w:rPr>
            <w:t>英文文献</w:t>
          </w:r>
          <w:r>
            <w:tab/>
          </w:r>
          <w:r>
            <w:fldChar w:fldCharType="begin"/>
          </w:r>
          <w:r>
            <w:instrText xml:space="preserve"> PAGEREF _Toc5875 \h </w:instrText>
          </w:r>
          <w:r>
            <w:fldChar w:fldCharType="separate"/>
          </w:r>
          <w:r>
            <w:t>83</w:t>
          </w:r>
          <w:r>
            <w:fldChar w:fldCharType="end"/>
          </w:r>
          <w:r>
            <w:fldChar w:fldCharType="end"/>
          </w:r>
        </w:p>
        <w:p w14:paraId="41CC0DF7">
          <w:pPr>
            <w:pStyle w:val="28"/>
            <w:tabs>
              <w:tab w:val="right" w:leader="dot" w:pos="8612"/>
            </w:tabs>
          </w:pPr>
          <w:r>
            <w:fldChar w:fldCharType="begin"/>
          </w:r>
          <w:r>
            <w:instrText xml:space="preserve"> HYPERLINK \l _Toc8969 </w:instrText>
          </w:r>
          <w:r>
            <w:fldChar w:fldCharType="separate"/>
          </w:r>
          <w:r>
            <w:rPr>
              <w:rFonts w:ascii="Times New Roman" w:hAnsi="Times New Roman" w:eastAsia="黑体"/>
            </w:rPr>
            <w:t>致谢</w:t>
          </w:r>
          <w:r>
            <w:tab/>
          </w:r>
          <w:r>
            <w:fldChar w:fldCharType="begin"/>
          </w:r>
          <w:r>
            <w:instrText xml:space="preserve"> PAGEREF _Toc8969 \h </w:instrText>
          </w:r>
          <w:r>
            <w:fldChar w:fldCharType="separate"/>
          </w:r>
          <w:r>
            <w:t>85</w:t>
          </w:r>
          <w:r>
            <w:fldChar w:fldCharType="end"/>
          </w:r>
          <w:r>
            <w:fldChar w:fldCharType="end"/>
          </w:r>
        </w:p>
        <w:p w14:paraId="324C37FF">
          <w:r>
            <w:fldChar w:fldCharType="end"/>
          </w:r>
        </w:p>
      </w:sdtContent>
    </w:sdt>
    <w:p w14:paraId="4D7E1194"/>
    <w:p w14:paraId="2757911E">
      <w:pPr>
        <w:spacing w:before="480" w:after="360" w:line="240" w:lineRule="auto"/>
        <w:jc w:val="center"/>
        <w:outlineLvl w:val="0"/>
      </w:pPr>
      <w:bookmarkStart w:id="0" w:name="_Toc12881"/>
      <w:r>
        <w:rPr>
          <w:rFonts w:ascii="Times New Roman" w:hAnsi="Times New Roman" w:eastAsia="黑体"/>
          <w:b/>
          <w:sz w:val="32"/>
        </w:rPr>
        <w:t>第一章　绪论</w:t>
      </w:r>
      <w:bookmarkEnd w:id="0"/>
    </w:p>
    <w:p w14:paraId="5F5D9ED2">
      <w:pPr>
        <w:spacing w:before="480" w:after="120" w:line="240" w:lineRule="auto"/>
        <w:jc w:val="center"/>
        <w:outlineLvl w:val="1"/>
      </w:pPr>
      <w:bookmarkStart w:id="1" w:name="_Toc29610"/>
      <w:r>
        <w:rPr>
          <w:rFonts w:ascii="Times New Roman" w:hAnsi="Times New Roman" w:eastAsia="黑体"/>
          <w:b/>
          <w:sz w:val="28"/>
        </w:rPr>
        <w:t>第一节　研究背景</w:t>
      </w:r>
      <w:bookmarkEnd w:id="1"/>
    </w:p>
    <w:p w14:paraId="702CE991">
      <w:pPr>
        <w:spacing w:before="240" w:after="120" w:line="240" w:lineRule="auto"/>
        <w:ind w:firstLine="520"/>
        <w:outlineLvl w:val="2"/>
      </w:pPr>
      <w:bookmarkStart w:id="2" w:name="_Toc6408"/>
      <w:r>
        <w:rPr>
          <w:rFonts w:ascii="Times New Roman" w:hAnsi="Times New Roman" w:eastAsia="黑体"/>
          <w:b/>
          <w:sz w:val="26"/>
        </w:rPr>
        <w:t>一、数字化转型与医疗健康产业变革</w:t>
      </w:r>
      <w:bookmarkEnd w:id="2"/>
    </w:p>
    <w:p w14:paraId="6142BDAB">
      <w:pPr>
        <w:spacing w:before="0" w:after="0" w:line="400" w:lineRule="exact"/>
        <w:ind w:firstLine="480"/>
        <w:jc w:val="both"/>
      </w:pPr>
      <w:r>
        <w:rPr>
          <w:rFonts w:ascii="Times New Roman" w:hAnsi="Times New Roman" w:eastAsia="宋体"/>
          <w:b w:val="0"/>
          <w:sz w:val="24"/>
        </w:rPr>
        <w:t>信息技术改造传统产业的进程，已从趋势判断变成了行业现实，医疗健康正是其中推进</w:t>
      </w:r>
      <w:r>
        <w:rPr>
          <w:rFonts w:hint="eastAsia" w:ascii="Times New Roman" w:hAnsi="Times New Roman"/>
          <w:b w:val="0"/>
          <w:sz w:val="24"/>
          <w:lang w:val="en-US" w:eastAsia="zh-CN"/>
        </w:rPr>
        <w:t>较</w:t>
      </w:r>
      <w:r>
        <w:rPr>
          <w:rFonts w:ascii="Times New Roman" w:hAnsi="Times New Roman" w:eastAsia="宋体"/>
          <w:b w:val="0"/>
          <w:sz w:val="24"/>
        </w:rPr>
        <w:t>快、政策密度</w:t>
      </w:r>
      <w:r>
        <w:rPr>
          <w:rFonts w:hint="eastAsia" w:ascii="Times New Roman" w:hAnsi="Times New Roman"/>
          <w:b w:val="0"/>
          <w:sz w:val="24"/>
          <w:lang w:val="en-US" w:eastAsia="zh-CN"/>
        </w:rPr>
        <w:t>较</w:t>
      </w:r>
      <w:r>
        <w:rPr>
          <w:rFonts w:ascii="Times New Roman" w:hAnsi="Times New Roman" w:eastAsia="宋体"/>
          <w:b w:val="0"/>
          <w:sz w:val="24"/>
        </w:rPr>
        <w:t>高的领域之一。自2018年国务院发布《关于促进</w:t>
      </w:r>
      <w:r>
        <w:rPr>
          <w:rFonts w:hint="eastAsia" w:ascii="Times New Roman" w:hAnsi="Times New Roman"/>
          <w:b w:val="0"/>
          <w:sz w:val="24"/>
          <w:lang w:eastAsia="zh-CN"/>
        </w:rPr>
        <w:t>“</w:t>
      </w:r>
      <w:r>
        <w:rPr>
          <w:rFonts w:ascii="Times New Roman" w:hAnsi="Times New Roman" w:eastAsia="宋体"/>
          <w:b w:val="0"/>
          <w:sz w:val="24"/>
        </w:rPr>
        <w:t>互联网+医疗健康</w:t>
      </w:r>
      <w:r>
        <w:rPr>
          <w:rFonts w:hint="eastAsia" w:ascii="Times New Roman" w:hAnsi="Times New Roman"/>
          <w:b w:val="0"/>
          <w:sz w:val="24"/>
          <w:lang w:eastAsia="zh-CN"/>
        </w:rPr>
        <w:t>”</w:t>
      </w:r>
      <w:r>
        <w:rPr>
          <w:rFonts w:ascii="Times New Roman" w:hAnsi="Times New Roman" w:eastAsia="宋体"/>
          <w:b w:val="0"/>
          <w:sz w:val="24"/>
        </w:rPr>
        <w:t>发展的意见》（国办发〔2018〕26号）以来，国家层面陆续出台了一系列政策文件，包括《关于完善</w:t>
      </w:r>
      <w:r>
        <w:rPr>
          <w:rFonts w:hint="eastAsia" w:ascii="Times New Roman" w:hAnsi="Times New Roman"/>
          <w:b w:val="0"/>
          <w:sz w:val="24"/>
          <w:lang w:eastAsia="zh-CN"/>
        </w:rPr>
        <w:t>“</w:t>
      </w:r>
      <w:r>
        <w:rPr>
          <w:rFonts w:ascii="Times New Roman" w:hAnsi="Times New Roman" w:eastAsia="宋体"/>
          <w:b w:val="0"/>
          <w:sz w:val="24"/>
        </w:rPr>
        <w:t>互联网+</w:t>
      </w:r>
      <w:r>
        <w:rPr>
          <w:rFonts w:hint="eastAsia" w:ascii="Times New Roman" w:hAnsi="Times New Roman"/>
          <w:b w:val="0"/>
          <w:sz w:val="24"/>
          <w:lang w:eastAsia="zh-CN"/>
        </w:rPr>
        <w:t>”</w:t>
      </w:r>
      <w:r>
        <w:rPr>
          <w:rFonts w:ascii="Times New Roman" w:hAnsi="Times New Roman" w:eastAsia="宋体"/>
          <w:b w:val="0"/>
          <w:sz w:val="24"/>
        </w:rPr>
        <w:t>医疗服务价格和医保支付政策的指导意见》（医保发〔2019〕47号）和《关于建立完善国家医保谈判药品"双通道"管理机制的指导意见》（医保发〔2021〕28号）等，明确鼓励利用大数据、人工智能、云计算等新一代信息技术创新医疗服务模式，推动线上线下医疗服务融合发展。2020年新冠疫情的暴发进一步加速了互联网医疗的普及，在线问诊、电子处方、远程会诊等线上服务从"可选项"转变为"必选项"（姚瑶等，2025）。2021年发布的《DRG/DIP支付方式改革三年行动计划》（医保发〔2021〕48号）将</w:t>
      </w:r>
      <w:r>
        <w:rPr>
          <w:rFonts w:hint="eastAsia" w:ascii="Times New Roman" w:hAnsi="Times New Roman"/>
          <w:b w:val="0"/>
          <w:sz w:val="24"/>
          <w:lang w:eastAsia="zh-CN"/>
        </w:rPr>
        <w:t>医保支付方式改革</w:t>
      </w:r>
      <w:r>
        <w:rPr>
          <w:rFonts w:ascii="Times New Roman" w:hAnsi="Times New Roman" w:eastAsia="宋体"/>
          <w:b w:val="0"/>
          <w:sz w:val="24"/>
        </w:rPr>
        <w:t>推向纵深，对医疗机构的运营效率提出了更高的要求。2024年《国家医疗保障局办公室关于规范医保药品外配处方管理的通知》（医保办函〔2024〕86号）进一步将处方流转的规范化管理提上政策议程。四年之间政策重心完成了三次转移——从鼓励探索，到规范价格与医保支付，再到管好每一张外配处方。行业的主基调也随之改变：规模扩张让位于规范运行与质量效益。</w:t>
      </w:r>
    </w:p>
    <w:p w14:paraId="4E228CDA">
      <w:pPr>
        <w:spacing w:before="0" w:after="0" w:line="400" w:lineRule="exact"/>
        <w:ind w:firstLine="480"/>
        <w:jc w:val="both"/>
      </w:pPr>
      <w:r>
        <w:rPr>
          <w:rFonts w:ascii="Times New Roman" w:hAnsi="Times New Roman" w:eastAsia="宋体"/>
          <w:b w:val="0"/>
          <w:sz w:val="24"/>
        </w:rPr>
        <w:t>政策与技术两股力量叠加，</w:t>
      </w:r>
      <w:r>
        <w:rPr>
          <w:rFonts w:hint="eastAsia" w:ascii="Times New Roman" w:hAnsi="Times New Roman"/>
          <w:b w:val="0"/>
          <w:sz w:val="24"/>
          <w:lang w:val="en-US" w:eastAsia="zh-CN"/>
        </w:rPr>
        <w:t>导致</w:t>
      </w:r>
      <w:r>
        <w:rPr>
          <w:rFonts w:ascii="Times New Roman" w:hAnsi="Times New Roman" w:eastAsia="宋体"/>
          <w:b w:val="0"/>
          <w:sz w:val="24"/>
        </w:rPr>
        <w:t>互联网医院的数量增长</w:t>
      </w:r>
      <w:r>
        <w:rPr>
          <w:rFonts w:hint="eastAsia" w:ascii="Times New Roman" w:hAnsi="Times New Roman"/>
          <w:b w:val="0"/>
          <w:sz w:val="24"/>
          <w:lang w:val="en-US" w:eastAsia="zh-CN"/>
        </w:rPr>
        <w:t>异常</w:t>
      </w:r>
      <w:r>
        <w:rPr>
          <w:rFonts w:hint="eastAsia" w:ascii="Times New Roman" w:hAnsi="Times New Roman"/>
          <w:b w:val="0"/>
          <w:sz w:val="24"/>
          <w:lang w:val="en-US" w:eastAsia="zh-CN"/>
        </w:rPr>
        <w:t>迅速</w:t>
      </w:r>
      <w:r>
        <w:rPr>
          <w:rFonts w:ascii="Times New Roman" w:hAnsi="Times New Roman" w:eastAsia="宋体"/>
          <w:b w:val="0"/>
          <w:sz w:val="24"/>
        </w:rPr>
        <w:t>：根据国家卫</w:t>
      </w:r>
      <w:r>
        <w:rPr>
          <w:rFonts w:ascii="Times New Roman" w:hAnsi="Times New Roman" w:eastAsia="宋体"/>
          <w:b w:val="0"/>
          <w:sz w:val="24"/>
        </w:rPr>
        <w:t>健</w:t>
      </w:r>
      <w:r>
        <w:rPr>
          <w:rFonts w:ascii="Times New Roman" w:hAnsi="Times New Roman" w:eastAsia="宋体"/>
          <w:b w:val="0"/>
          <w:sz w:val="24"/>
        </w:rPr>
        <w:t>委</w:t>
      </w:r>
      <w:r>
        <w:rPr>
          <w:rFonts w:ascii="Times New Roman" w:hAnsi="Times New Roman" w:eastAsia="宋体"/>
          <w:b w:val="0"/>
          <w:sz w:val="24"/>
        </w:rPr>
        <w:t>公布的数据，截至202</w:t>
      </w:r>
      <w:r>
        <w:rPr>
          <w:rFonts w:hint="eastAsia" w:ascii="Times New Roman" w:hAnsi="Times New Roman"/>
          <w:b w:val="0"/>
          <w:sz w:val="24"/>
          <w:lang w:val="en-US" w:eastAsia="zh-CN"/>
        </w:rPr>
        <w:t>6</w:t>
      </w:r>
      <w:r>
        <w:rPr>
          <w:rFonts w:ascii="Times New Roman" w:hAnsi="Times New Roman" w:eastAsia="宋体"/>
          <w:b w:val="0"/>
          <w:sz w:val="24"/>
        </w:rPr>
        <w:t>年</w:t>
      </w:r>
      <w:r>
        <w:rPr>
          <w:rFonts w:hint="eastAsia" w:ascii="Times New Roman" w:hAnsi="Times New Roman"/>
          <w:b w:val="0"/>
          <w:sz w:val="24"/>
          <w:lang w:val="en-US" w:eastAsia="zh-CN"/>
        </w:rPr>
        <w:t>上半年</w:t>
      </w:r>
      <w:r>
        <w:rPr>
          <w:rFonts w:ascii="Times New Roman" w:hAnsi="Times New Roman" w:eastAsia="宋体"/>
          <w:b w:val="0"/>
          <w:sz w:val="24"/>
        </w:rPr>
        <w:t>，全国</w:t>
      </w:r>
      <w:r>
        <w:rPr>
          <w:rFonts w:ascii="Times New Roman" w:hAnsi="Times New Roman" w:eastAsia="宋体"/>
          <w:b w:val="0"/>
          <w:sz w:val="24"/>
        </w:rPr>
        <w:t>互联网医院</w:t>
      </w:r>
      <w:r>
        <w:rPr>
          <w:rFonts w:hint="eastAsia" w:ascii="Times New Roman" w:hAnsi="Times New Roman"/>
          <w:b w:val="0"/>
          <w:sz w:val="24"/>
          <w:lang w:val="en-US" w:eastAsia="zh-CN"/>
        </w:rPr>
        <w:t>已</w:t>
      </w:r>
      <w:r>
        <w:rPr>
          <w:rFonts w:hint="eastAsia" w:ascii="Times New Roman" w:hAnsi="Times New Roman"/>
          <w:b w:val="0"/>
          <w:sz w:val="24"/>
          <w:lang w:val="en-US" w:eastAsia="zh-CN"/>
        </w:rPr>
        <w:t>突破</w:t>
      </w:r>
      <w:r>
        <w:rPr>
          <w:rFonts w:ascii="Times New Roman" w:hAnsi="Times New Roman" w:eastAsia="宋体"/>
          <w:b w:val="0"/>
          <w:sz w:val="24"/>
        </w:rPr>
        <w:t>3</w:t>
      </w:r>
      <w:r>
        <w:rPr>
          <w:rFonts w:hint="eastAsia" w:ascii="Times New Roman" w:hAnsi="Times New Roman"/>
          <w:b w:val="0"/>
          <w:sz w:val="24"/>
          <w:lang w:val="en-US" w:eastAsia="zh-CN"/>
        </w:rPr>
        <w:t>2</w:t>
      </w:r>
      <w:r>
        <w:rPr>
          <w:rFonts w:ascii="Times New Roman" w:hAnsi="Times New Roman" w:eastAsia="宋体"/>
          <w:b w:val="0"/>
          <w:sz w:val="24"/>
        </w:rPr>
        <w:t>00家，覆盖了绝大多数的三级公立医院；</w:t>
      </w:r>
      <w:r>
        <w:rPr>
          <w:rFonts w:ascii="Times New Roman" w:hAnsi="Times New Roman" w:eastAsia="宋体"/>
          <w:b w:val="0"/>
          <w:sz w:val="24"/>
        </w:rPr>
        <w:t>国家医保电子处方中心已实现31个省（自治区、直辖市）和新疆生产建设兵团的全覆盖与互联互通，接入超7万家定点医疗机构和超27万家定点零售药店。数字的另一面是运营管理的短板。不少互联网医院建成之后的使用率</w:t>
      </w:r>
      <w:r>
        <w:rPr>
          <w:rFonts w:hint="eastAsia" w:ascii="Times New Roman" w:hAnsi="Times New Roman"/>
          <w:b w:val="0"/>
          <w:sz w:val="24"/>
          <w:lang w:val="en-US" w:eastAsia="zh-CN"/>
        </w:rPr>
        <w:t>远</w:t>
      </w:r>
      <w:r>
        <w:rPr>
          <w:rFonts w:ascii="Times New Roman" w:hAnsi="Times New Roman" w:eastAsia="宋体"/>
          <w:b w:val="0"/>
          <w:sz w:val="24"/>
        </w:rPr>
        <w:t>不及预期，"建而不用"</w:t>
      </w:r>
      <w:r>
        <w:rPr>
          <w:rFonts w:hint="eastAsia" w:ascii="Times New Roman" w:hAnsi="Times New Roman"/>
          <w:b w:val="0"/>
          <w:sz w:val="24"/>
          <w:lang w:eastAsia="zh-CN"/>
        </w:rPr>
        <w:t>、</w:t>
      </w:r>
      <w:r>
        <w:rPr>
          <w:rFonts w:ascii="Times New Roman" w:hAnsi="Times New Roman" w:eastAsia="宋体"/>
          <w:b w:val="0"/>
          <w:sz w:val="24"/>
        </w:rPr>
        <w:t>"重建轻管"的声音时常见诸研究（公雪，郭蕊，2025）。平台</w:t>
      </w:r>
      <w:r>
        <w:rPr>
          <w:rFonts w:hint="eastAsia" w:ascii="Times New Roman" w:hAnsi="Times New Roman"/>
          <w:b w:val="0"/>
          <w:sz w:val="24"/>
          <w:lang w:eastAsia="zh-CN"/>
        </w:rPr>
        <w:t>的</w:t>
      </w:r>
      <w:r>
        <w:rPr>
          <w:rFonts w:ascii="Times New Roman" w:hAnsi="Times New Roman" w:eastAsia="宋体"/>
          <w:b w:val="0"/>
          <w:sz w:val="24"/>
        </w:rPr>
        <w:t>搭建只是起点，把它真正用好，才是决定互联网医院能否持续运转的关键。</w:t>
      </w:r>
    </w:p>
    <w:p w14:paraId="2640E87E">
      <w:pPr>
        <w:spacing w:before="0" w:after="0" w:line="400" w:lineRule="exact"/>
        <w:ind w:firstLine="480"/>
        <w:jc w:val="both"/>
      </w:pPr>
      <w:r>
        <w:rPr>
          <w:rFonts w:hint="eastAsia" w:ascii="Times New Roman" w:hAnsi="Times New Roman"/>
          <w:b w:val="0"/>
          <w:sz w:val="24"/>
          <w:lang w:val="en-US" w:eastAsia="zh-CN"/>
        </w:rPr>
        <w:t>从</w:t>
      </w:r>
      <w:r>
        <w:rPr>
          <w:rFonts w:hint="eastAsia" w:ascii="Times New Roman" w:hAnsi="Times New Roman"/>
          <w:b w:val="0"/>
          <w:sz w:val="24"/>
          <w:lang w:val="en-US" w:eastAsia="zh-CN"/>
        </w:rPr>
        <w:t>学术</w:t>
      </w:r>
      <w:r>
        <w:rPr>
          <w:rFonts w:hint="eastAsia" w:ascii="Times New Roman" w:hAnsi="Times New Roman"/>
          <w:b w:val="0"/>
          <w:sz w:val="24"/>
          <w:lang w:val="en-US" w:eastAsia="zh-CN"/>
        </w:rPr>
        <w:t>研究</w:t>
      </w:r>
      <w:r>
        <w:rPr>
          <w:rFonts w:hint="eastAsia" w:ascii="Times New Roman" w:hAnsi="Times New Roman"/>
          <w:b w:val="0"/>
          <w:sz w:val="24"/>
          <w:lang w:val="en-US" w:eastAsia="zh-CN"/>
        </w:rPr>
        <w:t>的</w:t>
      </w:r>
      <w:r>
        <w:rPr>
          <w:rFonts w:hint="eastAsia" w:ascii="Times New Roman" w:hAnsi="Times New Roman"/>
          <w:b w:val="0"/>
          <w:sz w:val="24"/>
          <w:lang w:val="en-US" w:eastAsia="zh-CN"/>
        </w:rPr>
        <w:t>角度</w:t>
      </w:r>
      <w:r>
        <w:rPr>
          <w:rFonts w:hint="eastAsia" w:ascii="Times New Roman" w:hAnsi="Times New Roman"/>
          <w:b w:val="0"/>
          <w:sz w:val="24"/>
          <w:lang w:val="en-US" w:eastAsia="zh-CN"/>
        </w:rPr>
        <w:t>来看</w:t>
      </w:r>
      <w:r>
        <w:rPr>
          <w:rFonts w:ascii="Times New Roman" w:hAnsi="Times New Roman" w:eastAsia="宋体"/>
          <w:b w:val="0"/>
          <w:sz w:val="24"/>
        </w:rPr>
        <w:t>，</w:t>
      </w:r>
      <w:r>
        <w:rPr>
          <w:rFonts w:hint="eastAsia" w:ascii="Times New Roman" w:hAnsi="Times New Roman"/>
          <w:b w:val="0"/>
          <w:sz w:val="24"/>
          <w:lang w:val="en-US" w:eastAsia="zh-CN"/>
        </w:rPr>
        <w:t>现有</w:t>
      </w:r>
      <w:r>
        <w:rPr>
          <w:rFonts w:hint="eastAsia" w:ascii="Times New Roman" w:hAnsi="Times New Roman"/>
          <w:b w:val="0"/>
          <w:sz w:val="24"/>
          <w:lang w:val="en-US" w:eastAsia="zh-CN"/>
        </w:rPr>
        <w:t>文献对</w:t>
      </w:r>
      <w:r>
        <w:rPr>
          <w:rFonts w:ascii="Times New Roman" w:hAnsi="Times New Roman" w:eastAsia="宋体"/>
          <w:b w:val="0"/>
          <w:sz w:val="24"/>
        </w:rPr>
        <w:t>互联网医院的研究</w:t>
      </w:r>
      <w:r>
        <w:rPr>
          <w:rFonts w:hint="eastAsia" w:ascii="Times New Roman" w:hAnsi="Times New Roman"/>
          <w:b w:val="0"/>
          <w:sz w:val="24"/>
          <w:lang w:val="en-US" w:eastAsia="zh-CN"/>
        </w:rPr>
        <w:t>常</w:t>
      </w:r>
      <w:r>
        <w:rPr>
          <w:rFonts w:hint="eastAsia" w:ascii="Times New Roman" w:hAnsi="Times New Roman"/>
          <w:b w:val="0"/>
          <w:sz w:val="24"/>
          <w:lang w:val="en-US" w:eastAsia="zh-CN"/>
        </w:rPr>
        <w:t>集中</w:t>
      </w:r>
      <w:r>
        <w:rPr>
          <w:rFonts w:ascii="Times New Roman" w:hAnsi="Times New Roman" w:eastAsia="宋体"/>
          <w:b w:val="0"/>
          <w:sz w:val="24"/>
        </w:rPr>
        <w:t>在技术架构、功能模块和政策制度三</w:t>
      </w:r>
      <w:r>
        <w:rPr>
          <w:rFonts w:hint="eastAsia" w:ascii="Times New Roman" w:hAnsi="Times New Roman"/>
          <w:b w:val="0"/>
          <w:sz w:val="24"/>
          <w:lang w:val="en-US" w:eastAsia="zh-CN"/>
        </w:rPr>
        <w:t>部分</w:t>
      </w:r>
      <w:r>
        <w:rPr>
          <w:rFonts w:ascii="Times New Roman" w:hAnsi="Times New Roman" w:eastAsia="宋体"/>
          <w:b w:val="0"/>
          <w:sz w:val="24"/>
        </w:rPr>
        <w:t>，真正围绕服务流程本身展开的系统研究并不多</w:t>
      </w:r>
      <w:r>
        <w:rPr>
          <w:rFonts w:ascii="Times New Roman" w:hAnsi="Times New Roman" w:eastAsia="宋体"/>
          <w:b w:val="0"/>
          <w:sz w:val="24"/>
        </w:rPr>
        <w:t>。医药集团的</w:t>
      </w:r>
      <w:r>
        <w:rPr>
          <w:rFonts w:hint="eastAsia" w:ascii="Times New Roman" w:hAnsi="Times New Roman"/>
          <w:b w:val="0"/>
          <w:sz w:val="24"/>
          <w:lang w:val="en-US" w:eastAsia="zh-CN"/>
        </w:rPr>
        <w:t>多医疗机构、</w:t>
      </w:r>
      <w:r>
        <w:rPr>
          <w:rFonts w:ascii="Times New Roman" w:hAnsi="Times New Roman" w:eastAsia="宋体"/>
          <w:b w:val="0"/>
          <w:sz w:val="24"/>
        </w:rPr>
        <w:t>多院区格局更是盲区：线上线下流程如何衔接、跨</w:t>
      </w:r>
      <w:r>
        <w:rPr>
          <w:rFonts w:hint="eastAsia" w:ascii="Times New Roman" w:hAnsi="Times New Roman"/>
          <w:b w:val="0"/>
          <w:sz w:val="24"/>
          <w:lang w:val="en-US" w:eastAsia="zh-CN"/>
        </w:rPr>
        <w:t>机构和</w:t>
      </w:r>
      <w:r>
        <w:rPr>
          <w:rFonts w:ascii="Times New Roman" w:hAnsi="Times New Roman" w:eastAsia="宋体"/>
          <w:b w:val="0"/>
          <w:sz w:val="24"/>
        </w:rPr>
        <w:t>院区如何协同、沉淀的运营数据如何反哺管理，这些核心问题还缺少理论与实践</w:t>
      </w:r>
      <w:r>
        <w:rPr>
          <w:rFonts w:hint="eastAsia" w:ascii="Times New Roman" w:hAnsi="Times New Roman"/>
          <w:b w:val="0"/>
          <w:sz w:val="24"/>
          <w:lang w:val="en-US" w:eastAsia="zh-CN"/>
        </w:rPr>
        <w:t>紧密结合</w:t>
      </w:r>
      <w:r>
        <w:rPr>
          <w:rFonts w:hint="eastAsia" w:ascii="Times New Roman" w:hAnsi="Times New Roman"/>
          <w:b w:val="0"/>
          <w:sz w:val="24"/>
          <w:lang w:val="en-US" w:eastAsia="zh-CN"/>
        </w:rPr>
        <w:t>的</w:t>
      </w:r>
      <w:r>
        <w:rPr>
          <w:rFonts w:ascii="Times New Roman" w:hAnsi="Times New Roman" w:eastAsia="宋体"/>
          <w:b w:val="0"/>
          <w:sz w:val="24"/>
        </w:rPr>
        <w:t>回答。技术升级从来只是数字化转型的表层，组织流程、服务模式和管理范式随之改变的深度，才决定转型的成败——线上问诊若与线下检查、取药</w:t>
      </w:r>
      <w:r>
        <w:rPr>
          <w:rFonts w:hint="eastAsia" w:ascii="Times New Roman" w:hAnsi="Times New Roman"/>
          <w:b w:val="0"/>
          <w:sz w:val="24"/>
          <w:lang w:val="en-US" w:eastAsia="zh-CN"/>
        </w:rPr>
        <w:t>脱节</w:t>
      </w:r>
      <w:r>
        <w:rPr>
          <w:rFonts w:ascii="Times New Roman" w:hAnsi="Times New Roman" w:eastAsia="宋体"/>
          <w:b w:val="0"/>
          <w:sz w:val="24"/>
        </w:rPr>
        <w:t>，患者</w:t>
      </w:r>
      <w:r>
        <w:rPr>
          <w:rFonts w:hint="eastAsia" w:ascii="Times New Roman" w:hAnsi="Times New Roman"/>
          <w:b w:val="0"/>
          <w:sz w:val="24"/>
          <w:lang w:val="en-US" w:eastAsia="zh-CN"/>
        </w:rPr>
        <w:t>线上</w:t>
      </w:r>
      <w:r>
        <w:rPr>
          <w:rFonts w:hint="eastAsia" w:ascii="Times New Roman" w:hAnsi="Times New Roman"/>
          <w:b w:val="0"/>
          <w:sz w:val="24"/>
          <w:lang w:val="en-US" w:eastAsia="zh-CN"/>
        </w:rPr>
        <w:t>就医</w:t>
      </w:r>
      <w:r>
        <w:rPr>
          <w:rFonts w:ascii="Times New Roman" w:hAnsi="Times New Roman" w:eastAsia="宋体"/>
          <w:b w:val="0"/>
          <w:sz w:val="24"/>
        </w:rPr>
        <w:t>的割裂感只会比转型之前更重。互联网医院的流程优化，也因此必须当作一个管理问题来系统研究，而不</w:t>
      </w:r>
      <w:r>
        <w:rPr>
          <w:rFonts w:hint="eastAsia" w:ascii="Times New Roman" w:hAnsi="Times New Roman"/>
          <w:b w:val="0"/>
          <w:sz w:val="24"/>
          <w:lang w:val="en-US" w:eastAsia="zh-CN"/>
        </w:rPr>
        <w:t>仅</w:t>
      </w:r>
      <w:r>
        <w:rPr>
          <w:rFonts w:ascii="Times New Roman" w:hAnsi="Times New Roman" w:eastAsia="宋体"/>
          <w:b w:val="0"/>
          <w:sz w:val="24"/>
        </w:rPr>
        <w:t>是当作技术问题</w:t>
      </w:r>
      <w:r>
        <w:rPr>
          <w:rFonts w:ascii="Times New Roman" w:hAnsi="Times New Roman" w:eastAsia="宋体"/>
          <w:b w:val="0"/>
          <w:sz w:val="24"/>
        </w:rPr>
        <w:t>处理。</w:t>
      </w:r>
    </w:p>
    <w:p w14:paraId="0C12088E">
      <w:pPr>
        <w:spacing w:before="240" w:after="120" w:line="240" w:lineRule="auto"/>
        <w:ind w:firstLine="520"/>
        <w:outlineLvl w:val="2"/>
      </w:pPr>
      <w:bookmarkStart w:id="3" w:name="_Toc17314"/>
      <w:r>
        <w:rPr>
          <w:rFonts w:ascii="Times New Roman" w:hAnsi="Times New Roman" w:eastAsia="黑体"/>
          <w:b/>
          <w:sz w:val="26"/>
        </w:rPr>
        <w:t>二、互联网医院的发展现状与挑战</w:t>
      </w:r>
      <w:bookmarkEnd w:id="3"/>
    </w:p>
    <w:p w14:paraId="541C48E9">
      <w:pPr>
        <w:spacing w:before="0" w:after="0" w:line="400" w:lineRule="exact"/>
        <w:ind w:firstLine="480"/>
        <w:jc w:val="both"/>
      </w:pPr>
      <w:r>
        <w:rPr>
          <w:rFonts w:ascii="Times New Roman" w:hAnsi="Times New Roman" w:eastAsia="宋体"/>
          <w:b w:val="0"/>
          <w:sz w:val="24"/>
        </w:rPr>
        <w:t>国际上，互联网医疗大体走过了三个阶段：先是以信息上网为主的信息服务，继而是在线咨询，再到线上线下一体化的诊疗平台。美国凯撒医疗集团把保险、医疗服务和信息技术</w:t>
      </w:r>
      <w:r>
        <w:rPr>
          <w:rFonts w:hint="eastAsia" w:ascii="Times New Roman" w:hAnsi="Times New Roman"/>
          <w:b w:val="0"/>
          <w:sz w:val="24"/>
          <w:lang w:val="en-US" w:eastAsia="zh-CN"/>
        </w:rPr>
        <w:t>结合</w:t>
      </w:r>
      <w:r>
        <w:rPr>
          <w:rFonts w:ascii="Times New Roman" w:hAnsi="Times New Roman" w:eastAsia="宋体"/>
          <w:b w:val="0"/>
          <w:sz w:val="24"/>
        </w:rPr>
        <w:t>在一起，线上线下深度融合，成为全球医疗整合的标杆（李皓月等，2025）；英国NHS则在数字化转型战略下，把在线预约、视频问诊、电子处方</w:t>
      </w:r>
      <w:r>
        <w:rPr>
          <w:rFonts w:hint="eastAsia" w:ascii="Times New Roman" w:hAnsi="Times New Roman"/>
          <w:b w:val="0"/>
          <w:sz w:val="24"/>
          <w:lang w:val="en-US" w:eastAsia="zh-CN"/>
        </w:rPr>
        <w:t>整合</w:t>
      </w:r>
      <w:r>
        <w:rPr>
          <w:rFonts w:ascii="Times New Roman" w:hAnsi="Times New Roman" w:eastAsia="宋体"/>
          <w:b w:val="0"/>
          <w:sz w:val="24"/>
        </w:rPr>
        <w:t>进统一的数字</w:t>
      </w:r>
      <w:r>
        <w:rPr>
          <w:rFonts w:hint="eastAsia" w:ascii="Times New Roman" w:hAnsi="Times New Roman"/>
          <w:b w:val="0"/>
          <w:sz w:val="24"/>
          <w:lang w:val="en-US" w:eastAsia="zh-CN"/>
        </w:rPr>
        <w:t>管理</w:t>
      </w:r>
      <w:r>
        <w:rPr>
          <w:rFonts w:ascii="Times New Roman" w:hAnsi="Times New Roman" w:eastAsia="宋体"/>
          <w:b w:val="0"/>
          <w:sz w:val="24"/>
        </w:rPr>
        <w:t>平台。两条路径</w:t>
      </w:r>
      <w:r>
        <w:rPr>
          <w:rFonts w:hint="eastAsia" w:ascii="Times New Roman" w:hAnsi="Times New Roman"/>
          <w:b w:val="0"/>
          <w:sz w:val="24"/>
          <w:lang w:val="en-US" w:eastAsia="zh-CN"/>
        </w:rPr>
        <w:t>的</w:t>
      </w:r>
      <w:r>
        <w:rPr>
          <w:rFonts w:hint="eastAsia" w:ascii="Times New Roman" w:hAnsi="Times New Roman"/>
          <w:b w:val="0"/>
          <w:sz w:val="24"/>
          <w:lang w:val="en-US" w:eastAsia="zh-CN"/>
        </w:rPr>
        <w:t>成功</w:t>
      </w:r>
      <w:r>
        <w:rPr>
          <w:rFonts w:hint="eastAsia" w:ascii="Times New Roman" w:hAnsi="Times New Roman"/>
          <w:b w:val="0"/>
          <w:sz w:val="24"/>
          <w:lang w:val="en-US" w:eastAsia="zh-CN"/>
        </w:rPr>
        <w:t>均</w:t>
      </w:r>
      <w:r>
        <w:rPr>
          <w:rFonts w:ascii="Times New Roman" w:hAnsi="Times New Roman" w:eastAsia="宋体"/>
          <w:b w:val="0"/>
          <w:sz w:val="24"/>
        </w:rPr>
        <w:t>给出</w:t>
      </w:r>
      <w:r>
        <w:rPr>
          <w:rFonts w:hint="eastAsia" w:ascii="Times New Roman" w:hAnsi="Times New Roman"/>
          <w:b w:val="0"/>
          <w:sz w:val="24"/>
          <w:lang w:val="en-US" w:eastAsia="zh-CN"/>
        </w:rPr>
        <w:t>了</w:t>
      </w:r>
      <w:r>
        <w:rPr>
          <w:rFonts w:hint="eastAsia" w:ascii="Times New Roman" w:hAnsi="Times New Roman"/>
          <w:b w:val="0"/>
          <w:sz w:val="24"/>
          <w:lang w:val="en-US" w:eastAsia="zh-CN"/>
        </w:rPr>
        <w:t>相同</w:t>
      </w:r>
      <w:r>
        <w:rPr>
          <w:rFonts w:hint="eastAsia" w:ascii="Times New Roman" w:hAnsi="Times New Roman"/>
          <w:b w:val="0"/>
          <w:sz w:val="24"/>
          <w:lang w:val="en-US" w:eastAsia="zh-CN"/>
        </w:rPr>
        <w:t>的</w:t>
      </w:r>
      <w:r>
        <w:rPr>
          <w:rFonts w:hint="eastAsia" w:ascii="Times New Roman" w:hAnsi="Times New Roman"/>
          <w:b w:val="0"/>
          <w:sz w:val="24"/>
          <w:lang w:val="en-US" w:eastAsia="zh-CN"/>
        </w:rPr>
        <w:t>结论</w:t>
      </w:r>
      <w:r>
        <w:rPr>
          <w:rFonts w:ascii="Times New Roman" w:hAnsi="Times New Roman" w:eastAsia="宋体"/>
          <w:b w:val="0"/>
          <w:sz w:val="24"/>
        </w:rPr>
        <w:t>：平台能不能撑起服务，取决于背后的流程设计、组织变革和制度安排，而不是平台本身。</w:t>
      </w:r>
    </w:p>
    <w:p w14:paraId="5426AB21">
      <w:pPr>
        <w:spacing w:before="0" w:after="0" w:line="400" w:lineRule="exact"/>
        <w:ind w:firstLine="480"/>
        <w:jc w:val="both"/>
      </w:pPr>
      <w:r>
        <w:rPr>
          <w:rFonts w:ascii="Times New Roman" w:hAnsi="Times New Roman" w:eastAsia="宋体"/>
          <w:b w:val="0"/>
          <w:sz w:val="24"/>
        </w:rPr>
        <w:t>我国互联网医院的发展呈现出多样化的模式。按照运营主体的不同，可大致分为三类：一是大型公立医院自建的互联网医院，依托实体医院资源提供线上复诊、慢病管理和处方流转等服务；二是平台型企业主导的互联网医疗平台，通过整合第三方医疗资源提供在线问诊和药品配送服务；三是医药集团主导的线上线下融合型互联网医院，以本研究关注的A医药集团为代表，旗下拥有多家实体医院，通过自建互联网平台实现集团内多</w:t>
      </w:r>
      <w:r>
        <w:rPr>
          <w:rFonts w:hint="eastAsia" w:ascii="Times New Roman" w:hAnsi="Times New Roman"/>
          <w:b w:val="0"/>
          <w:sz w:val="24"/>
          <w:lang w:val="en-US" w:eastAsia="zh-CN"/>
        </w:rPr>
        <w:t>机构</w:t>
      </w:r>
      <w:r>
        <w:rPr>
          <w:rFonts w:hint="eastAsia" w:ascii="Times New Roman" w:hAnsi="Times New Roman"/>
          <w:b w:val="0"/>
          <w:sz w:val="24"/>
          <w:lang w:val="en-US" w:eastAsia="zh-CN"/>
        </w:rPr>
        <w:t>、</w:t>
      </w:r>
      <w:r>
        <w:rPr>
          <w:rFonts w:hint="eastAsia" w:ascii="Times New Roman" w:hAnsi="Times New Roman"/>
          <w:b w:val="0"/>
          <w:sz w:val="24"/>
          <w:lang w:val="en-US" w:eastAsia="zh-CN"/>
        </w:rPr>
        <w:t>多</w:t>
      </w:r>
      <w:r>
        <w:rPr>
          <w:rFonts w:ascii="Times New Roman" w:hAnsi="Times New Roman" w:eastAsia="宋体"/>
          <w:b w:val="0"/>
          <w:sz w:val="24"/>
        </w:rPr>
        <w:t>院区的线上线下一体化服务（尹建昭等，2025）。</w:t>
      </w:r>
    </w:p>
    <w:p w14:paraId="6304AF9E">
      <w:pPr>
        <w:spacing w:before="0" w:after="0" w:line="400" w:lineRule="exact"/>
        <w:ind w:firstLine="480"/>
        <w:jc w:val="both"/>
      </w:pPr>
      <w:r>
        <w:rPr>
          <w:rFonts w:ascii="Times New Roman" w:hAnsi="Times New Roman" w:eastAsia="宋体"/>
          <w:b w:val="0"/>
          <w:sz w:val="24"/>
        </w:rPr>
        <w:t>当前，我国互联网医院面临的主要</w:t>
      </w:r>
      <w:r>
        <w:rPr>
          <w:rFonts w:ascii="Times New Roman" w:hAnsi="Times New Roman" w:eastAsia="宋体"/>
          <w:b w:val="0"/>
          <w:sz w:val="24"/>
        </w:rPr>
        <w:t>挑战可以概括为三</w:t>
      </w:r>
      <w:r>
        <w:rPr>
          <w:rFonts w:hint="eastAsia" w:ascii="Times New Roman" w:hAnsi="Times New Roman"/>
          <w:b w:val="0"/>
          <w:sz w:val="24"/>
          <w:lang w:val="en-US" w:eastAsia="zh-CN"/>
        </w:rPr>
        <w:t>个</w:t>
      </w:r>
      <w:r>
        <w:rPr>
          <w:rFonts w:hint="eastAsia" w:ascii="Times New Roman" w:hAnsi="Times New Roman"/>
          <w:b w:val="0"/>
          <w:sz w:val="24"/>
          <w:lang w:val="en-US" w:eastAsia="zh-CN"/>
        </w:rPr>
        <w:t>方面</w:t>
      </w:r>
      <w:r>
        <w:rPr>
          <w:rFonts w:ascii="Times New Roman" w:hAnsi="Times New Roman" w:eastAsia="宋体"/>
          <w:b w:val="0"/>
          <w:sz w:val="24"/>
        </w:rPr>
        <w:t>第一，线上线下服务流程的衔接中存在明显的"断点"，线上开具的电子处方与线下的检查、取药等环节之间的信息不同步和流程不衔接，导致未能真正实现线上线下一体化。第二，多院区之间的协同管理困难——同一集团的不同</w:t>
      </w:r>
      <w:r>
        <w:rPr>
          <w:rFonts w:hint="eastAsia" w:ascii="Times New Roman" w:hAnsi="Times New Roman"/>
          <w:b w:val="0"/>
          <w:sz w:val="24"/>
          <w:lang w:val="en-US" w:eastAsia="zh-CN"/>
        </w:rPr>
        <w:t>机构</w:t>
      </w:r>
      <w:r>
        <w:rPr>
          <w:rFonts w:hint="eastAsia" w:ascii="Times New Roman" w:hAnsi="Times New Roman"/>
          <w:b w:val="0"/>
          <w:sz w:val="24"/>
          <w:lang w:val="en-US" w:eastAsia="zh-CN"/>
        </w:rPr>
        <w:t>、</w:t>
      </w:r>
      <w:r>
        <w:rPr>
          <w:rFonts w:ascii="Times New Roman" w:hAnsi="Times New Roman" w:eastAsia="宋体"/>
          <w:b w:val="0"/>
          <w:sz w:val="24"/>
        </w:rPr>
        <w:t>院区往往使用不同版本的信息系统，患者数据难以互通互认，难以形成集团层面的服务标准化（谭华伟等，2024）。第三，运营数据的利用水平较低，多数互联网医院平台虽然已经积累了大量的患者行为数据和运营日志，但这些数据主要用于事后统计报表，</w:t>
      </w:r>
      <w:r>
        <w:rPr>
          <w:rFonts w:hint="eastAsia" w:ascii="Times New Roman" w:hAnsi="Times New Roman"/>
          <w:b w:val="0"/>
          <w:sz w:val="24"/>
          <w:lang w:val="en-US" w:eastAsia="zh-CN"/>
        </w:rPr>
        <w:t>而</w:t>
      </w:r>
      <w:r>
        <w:rPr>
          <w:rFonts w:hint="eastAsia" w:ascii="Times New Roman" w:hAnsi="Times New Roman"/>
          <w:b w:val="0"/>
          <w:sz w:val="24"/>
          <w:lang w:val="en-US" w:eastAsia="zh-CN"/>
        </w:rPr>
        <w:t>并</w:t>
      </w:r>
      <w:r>
        <w:rPr>
          <w:rFonts w:hint="eastAsia" w:ascii="Times New Roman" w:hAnsi="Times New Roman"/>
          <w:b w:val="0"/>
          <w:sz w:val="24"/>
          <w:lang w:val="en-US" w:eastAsia="zh-CN"/>
        </w:rPr>
        <w:t>没有</w:t>
      </w:r>
      <w:r>
        <w:rPr>
          <w:rFonts w:ascii="Times New Roman" w:hAnsi="Times New Roman" w:eastAsia="宋体"/>
          <w:b w:val="0"/>
          <w:sz w:val="24"/>
        </w:rPr>
        <w:t>被系统地用于流程诊断和优化决策</w:t>
      </w:r>
      <w:r>
        <w:rPr>
          <w:rFonts w:ascii="Times New Roman" w:hAnsi="Times New Roman" w:eastAsia="宋体"/>
          <w:b w:val="0"/>
          <w:sz w:val="24"/>
        </w:rPr>
        <w:t>过程分析法正是把这类运营日志变成流程洞察的可行路径（Rojas等，2016）。</w:t>
      </w:r>
    </w:p>
    <w:p w14:paraId="11B37089">
      <w:pPr>
        <w:spacing w:before="240" w:after="120" w:line="240" w:lineRule="auto"/>
        <w:ind w:firstLine="520"/>
        <w:outlineLvl w:val="2"/>
      </w:pPr>
      <w:bookmarkStart w:id="4" w:name="_Toc12004"/>
      <w:r>
        <w:rPr>
          <w:rFonts w:ascii="Times New Roman" w:hAnsi="Times New Roman" w:eastAsia="黑体"/>
          <w:b/>
          <w:sz w:val="26"/>
        </w:rPr>
        <w:t>三、A医药集团互联网医院的建设背景</w:t>
      </w:r>
      <w:bookmarkEnd w:id="4"/>
    </w:p>
    <w:p w14:paraId="2C727BF0">
      <w:pPr>
        <w:spacing w:before="0" w:after="0" w:line="400" w:lineRule="exact"/>
        <w:ind w:firstLine="480"/>
        <w:jc w:val="both"/>
      </w:pPr>
      <w:r>
        <w:rPr>
          <w:rFonts w:ascii="Times New Roman" w:hAnsi="Times New Roman" w:eastAsia="宋体"/>
          <w:b w:val="0"/>
          <w:sz w:val="24"/>
        </w:rPr>
        <w:t>A医药集团</w:t>
      </w:r>
      <w:r>
        <w:rPr>
          <w:rFonts w:ascii="Times New Roman" w:hAnsi="Times New Roman" w:eastAsia="宋体"/>
          <w:b w:val="0"/>
          <w:sz w:val="24"/>
        </w:rPr>
        <w:t>是国内医药流通</w:t>
      </w:r>
      <w:r>
        <w:rPr>
          <w:rFonts w:hint="eastAsia" w:ascii="Times New Roman" w:hAnsi="Times New Roman"/>
          <w:b w:val="0"/>
          <w:sz w:val="24"/>
          <w:lang w:val="en-US" w:eastAsia="zh-CN"/>
        </w:rPr>
        <w:t>及</w:t>
      </w:r>
      <w:r>
        <w:rPr>
          <w:rFonts w:hint="eastAsia" w:ascii="Times New Roman" w:hAnsi="Times New Roman"/>
          <w:b w:val="0"/>
          <w:sz w:val="24"/>
          <w:lang w:val="en-US" w:eastAsia="zh-CN"/>
        </w:rPr>
        <w:t>医疗</w:t>
      </w:r>
      <w:r>
        <w:rPr>
          <w:rFonts w:hint="eastAsia" w:ascii="Times New Roman" w:hAnsi="Times New Roman"/>
          <w:b w:val="0"/>
          <w:sz w:val="24"/>
          <w:lang w:val="en-US" w:eastAsia="zh-CN"/>
        </w:rPr>
        <w:t>服务</w:t>
      </w:r>
      <w:r>
        <w:rPr>
          <w:rFonts w:ascii="Times New Roman" w:hAnsi="Times New Roman" w:eastAsia="宋体"/>
          <w:b w:val="0"/>
          <w:sz w:val="24"/>
        </w:rPr>
        <w:t>领域的领先企业之一，</w:t>
      </w:r>
      <w:r>
        <w:rPr>
          <w:rFonts w:ascii="Times New Roman" w:hAnsi="Times New Roman" w:eastAsia="宋体"/>
          <w:b w:val="0"/>
          <w:sz w:val="24"/>
        </w:rPr>
        <w:t>已形成覆盖</w:t>
      </w:r>
      <w:r>
        <w:rPr>
          <w:rFonts w:hint="eastAsia" w:ascii="Times New Roman" w:hAnsi="Times New Roman"/>
          <w:b w:val="0"/>
          <w:sz w:val="24"/>
          <w:lang w:val="en-US" w:eastAsia="zh-CN"/>
        </w:rPr>
        <w:t>医药</w:t>
      </w:r>
      <w:r>
        <w:rPr>
          <w:rFonts w:hint="eastAsia" w:ascii="Times New Roman" w:hAnsi="Times New Roman"/>
          <w:b w:val="0"/>
          <w:sz w:val="24"/>
          <w:lang w:val="en-US" w:eastAsia="zh-CN"/>
        </w:rPr>
        <w:t>研发</w:t>
      </w:r>
      <w:r>
        <w:rPr>
          <w:rFonts w:hint="eastAsia" w:ascii="Times New Roman" w:hAnsi="Times New Roman"/>
          <w:b w:val="0"/>
          <w:sz w:val="24"/>
          <w:lang w:val="en-US" w:eastAsia="zh-CN"/>
        </w:rPr>
        <w:t>与</w:t>
      </w:r>
      <w:r>
        <w:rPr>
          <w:rFonts w:hint="eastAsia" w:ascii="Times New Roman" w:hAnsi="Times New Roman"/>
          <w:b w:val="0"/>
          <w:sz w:val="24"/>
          <w:lang w:val="en-US" w:eastAsia="zh-CN"/>
        </w:rPr>
        <w:t>流通</w:t>
      </w:r>
      <w:r>
        <w:rPr>
          <w:rFonts w:hint="eastAsia" w:ascii="Times New Roman" w:hAnsi="Times New Roman"/>
          <w:b w:val="0"/>
          <w:sz w:val="24"/>
          <w:lang w:val="en-US" w:eastAsia="zh-CN"/>
        </w:rPr>
        <w:t>、</w:t>
      </w:r>
      <w:r>
        <w:rPr>
          <w:rFonts w:ascii="Times New Roman" w:hAnsi="Times New Roman" w:eastAsia="宋体"/>
          <w:b w:val="0"/>
          <w:sz w:val="24"/>
        </w:rPr>
        <w:t>药品分销、零售药房</w:t>
      </w:r>
      <w:r>
        <w:rPr>
          <w:rFonts w:hint="eastAsia" w:ascii="Times New Roman" w:hAnsi="Times New Roman"/>
          <w:b w:val="0"/>
          <w:sz w:val="24"/>
          <w:lang w:eastAsia="zh-CN"/>
        </w:rPr>
        <w:t>、</w:t>
      </w:r>
      <w:r>
        <w:rPr>
          <w:rFonts w:hint="eastAsia" w:ascii="Times New Roman" w:hAnsi="Times New Roman"/>
          <w:b w:val="0"/>
          <w:sz w:val="24"/>
          <w:lang w:val="en-US" w:eastAsia="zh-CN"/>
        </w:rPr>
        <w:t>医疗器械</w:t>
      </w:r>
      <w:r>
        <w:rPr>
          <w:rFonts w:ascii="Times New Roman" w:hAnsi="Times New Roman" w:eastAsia="宋体"/>
          <w:b w:val="0"/>
          <w:sz w:val="24"/>
        </w:rPr>
        <w:t>和医疗服务等多业务板块的产业布局。集团旗下拥有多家三级甲等综合医院</w:t>
      </w:r>
      <w:r>
        <w:rPr>
          <w:rFonts w:hint="eastAsia" w:ascii="Times New Roman" w:hAnsi="Times New Roman"/>
          <w:b w:val="0"/>
          <w:sz w:val="24"/>
          <w:lang w:eastAsia="zh-CN"/>
        </w:rPr>
        <w:t>、</w:t>
      </w:r>
      <w:r>
        <w:rPr>
          <w:rFonts w:hint="eastAsia" w:ascii="Times New Roman" w:hAnsi="Times New Roman"/>
          <w:b w:val="0"/>
          <w:sz w:val="24"/>
          <w:lang w:val="en-US" w:eastAsia="zh-CN"/>
        </w:rPr>
        <w:t>二级</w:t>
      </w:r>
      <w:r>
        <w:rPr>
          <w:rFonts w:hint="eastAsia" w:ascii="Times New Roman" w:hAnsi="Times New Roman"/>
          <w:b w:val="0"/>
          <w:sz w:val="24"/>
          <w:lang w:val="en-US" w:eastAsia="zh-CN"/>
        </w:rPr>
        <w:t>医院</w:t>
      </w:r>
      <w:r>
        <w:rPr>
          <w:rFonts w:hint="eastAsia" w:ascii="Times New Roman" w:hAnsi="Times New Roman"/>
          <w:b w:val="0"/>
          <w:sz w:val="24"/>
          <w:lang w:val="en-US" w:eastAsia="zh-CN"/>
        </w:rPr>
        <w:t>、</w:t>
      </w:r>
      <w:r>
        <w:rPr>
          <w:rFonts w:ascii="Times New Roman" w:hAnsi="Times New Roman" w:eastAsia="宋体"/>
          <w:b w:val="0"/>
          <w:sz w:val="24"/>
        </w:rPr>
        <w:t>专科医院</w:t>
      </w:r>
      <w:r>
        <w:rPr>
          <w:rFonts w:hint="eastAsia" w:ascii="Times New Roman" w:hAnsi="Times New Roman"/>
          <w:b w:val="0"/>
          <w:sz w:val="24"/>
          <w:lang w:val="en-US" w:eastAsia="zh-CN"/>
        </w:rPr>
        <w:t>和</w:t>
      </w:r>
      <w:r>
        <w:rPr>
          <w:rFonts w:hint="eastAsia" w:ascii="Times New Roman" w:hAnsi="Times New Roman"/>
          <w:b w:val="0"/>
          <w:sz w:val="24"/>
          <w:lang w:val="en-US" w:eastAsia="zh-CN"/>
        </w:rPr>
        <w:t>社区</w:t>
      </w:r>
      <w:r>
        <w:rPr>
          <w:rFonts w:hint="eastAsia" w:ascii="Times New Roman" w:hAnsi="Times New Roman"/>
          <w:b w:val="0"/>
          <w:sz w:val="24"/>
          <w:lang w:val="en-US" w:eastAsia="zh-CN"/>
        </w:rPr>
        <w:t>服务站</w:t>
      </w:r>
      <w:r>
        <w:rPr>
          <w:rFonts w:ascii="Times New Roman" w:hAnsi="Times New Roman" w:eastAsia="宋体"/>
          <w:b w:val="0"/>
          <w:sz w:val="24"/>
        </w:rPr>
        <w:t>，分布于多个省市。为整合旗下医院资源、提升医疗服务效率，A医药集团投资建设了统一的互联网医院平台。该平台于</w:t>
      </w:r>
      <w:r>
        <w:rPr>
          <w:rFonts w:ascii="Times New Roman" w:hAnsi="Times New Roman" w:eastAsia="宋体"/>
          <w:b w:val="0"/>
          <w:sz w:val="24"/>
        </w:rPr>
        <w:t>2022年6月正式运行，2023年4月启动处方流转业务。截至2026年5月，平台已签约合作药店1000余家</w:t>
      </w:r>
      <w:r>
        <w:rPr>
          <w:rFonts w:hint="eastAsia" w:ascii="Times New Roman" w:hAnsi="Times New Roman"/>
          <w:b w:val="0"/>
          <w:sz w:val="24"/>
          <w:lang w:val="en-US" w:eastAsia="zh-CN"/>
        </w:rPr>
        <w:t/>
      </w:r>
      <w:r>
        <w:rPr>
          <w:rFonts w:hint="eastAsia" w:ascii="Times New Roman" w:hAnsi="Times New Roman"/>
          <w:b w:val="0"/>
          <w:sz w:val="24"/>
          <w:lang w:val="en-US" w:eastAsia="zh-CN"/>
        </w:rPr>
        <w:t/>
      </w:r>
      <w:r>
        <w:rPr>
          <w:rFonts w:ascii="Times New Roman" w:hAnsi="Times New Roman" w:eastAsia="宋体"/>
          <w:b w:val="0"/>
          <w:sz w:val="24"/>
        </w:rPr>
        <w:t>，处方流转续方累计达</w:t>
      </w:r>
      <w:r>
        <w:rPr>
          <w:rFonts w:hint="eastAsia" w:ascii="Times New Roman" w:hAnsi="Times New Roman"/>
          <w:b w:val="0"/>
          <w:sz w:val="24"/>
          <w:lang w:val="en-US" w:eastAsia="zh-CN"/>
        </w:rPr>
        <w:t>60</w:t>
      </w:r>
      <w:r>
        <w:rPr>
          <w:rFonts w:hint="eastAsia" w:ascii="Times New Roman" w:hAnsi="Times New Roman"/>
          <w:b w:val="0"/>
          <w:sz w:val="24"/>
          <w:lang w:val="en-US" w:eastAsia="zh-CN"/>
        </w:rPr>
        <w:t>余</w:t>
      </w:r>
      <w:r>
        <w:rPr>
          <w:rFonts w:ascii="Times New Roman" w:hAnsi="Times New Roman" w:eastAsia="宋体"/>
          <w:b w:val="0"/>
          <w:sz w:val="24"/>
        </w:rPr>
        <w:t>万单，</w:t>
      </w:r>
      <w:r>
        <w:rPr>
          <w:rFonts w:hint="eastAsia" w:ascii="Times New Roman" w:hAnsi="Times New Roman"/>
          <w:b w:val="0"/>
          <w:sz w:val="24"/>
          <w:lang w:val="en-US" w:eastAsia="zh-CN"/>
        </w:rPr>
        <w:t>平台注册患者用户超九十万</w:t>
      </w:r>
      <w:r>
        <w:rPr>
          <w:rFonts w:hint="eastAsia" w:ascii="Times New Roman" w:hAnsi="Times New Roman"/>
          <w:b w:val="0"/>
          <w:sz w:val="24"/>
          <w:lang w:val="en-US" w:eastAsia="zh-CN"/>
        </w:rPr>
        <w:t/>
      </w:r>
      <w:r>
        <w:rPr>
          <w:rFonts w:hint="eastAsia" w:ascii="Times New Roman" w:hAnsi="Times New Roman"/>
          <w:b w:val="0"/>
          <w:sz w:val="24"/>
          <w:lang w:val="en-US" w:eastAsia="zh-CN"/>
        </w:rPr>
        <w:t/>
      </w:r>
      <w:r>
        <w:rPr>
          <w:rFonts w:hint="eastAsia" w:ascii="Times New Roman" w:hAnsi="Times New Roman"/>
          <w:b w:val="0"/>
          <w:sz w:val="24"/>
          <w:lang w:val="en-US" w:eastAsia="zh-CN"/>
        </w:rPr>
        <w:t/>
      </w:r>
      <w:r>
        <w:rPr>
          <w:rFonts w:hint="eastAsia" w:ascii="Times New Roman" w:hAnsi="Times New Roman"/>
          <w:b w:val="0"/>
          <w:sz w:val="24"/>
          <w:lang w:val="en-US" w:eastAsia="zh-CN"/>
        </w:rPr>
        <w:t/>
      </w:r>
      <w:r>
        <w:rPr>
          <w:rFonts w:hint="eastAsia" w:ascii="Times New Roman" w:hAnsi="Times New Roman"/>
          <w:b w:val="0"/>
          <w:sz w:val="24"/>
          <w:lang w:val="en-US" w:eastAsia="zh-CN"/>
        </w:rPr>
        <w:t/>
      </w:r>
      <w:r>
        <w:rPr>
          <w:rFonts w:ascii="Times New Roman" w:hAnsi="Times New Roman" w:eastAsia="宋体"/>
          <w:b w:val="0"/>
          <w:sz w:val="24"/>
        </w:rPr>
        <w:t>。</w:t>
      </w:r>
    </w:p>
    <w:p w14:paraId="72CD827B">
      <w:pPr>
        <w:spacing w:before="0" w:after="0" w:line="400" w:lineRule="exact"/>
        <w:ind w:firstLine="480"/>
        <w:jc w:val="both"/>
      </w:pPr>
      <w:r>
        <w:rPr>
          <w:rFonts w:ascii="Times New Roman" w:hAnsi="Times New Roman" w:eastAsia="宋体"/>
          <w:b w:val="0"/>
          <w:sz w:val="24"/>
        </w:rPr>
        <w:t>然而，集团在推进数字化转型过程中，面临着前述三大共性挑战：线上线下的流程衔接不畅、多个院区之间服务标准和数据互通存在障碍、平台积累的运营数据尚未被充分用于流程改进决策。特别是集团旗下各医院在被整合之前的信息化建设路径各不相同，医院信息系统（Hospital Information System，以下简称"HIS"）的</w:t>
      </w:r>
      <w:r>
        <w:rPr>
          <w:rFonts w:hint="eastAsia" w:ascii="Times New Roman" w:hAnsi="Times New Roman"/>
          <w:b w:val="0"/>
          <w:sz w:val="24"/>
          <w:lang w:val="en-US" w:eastAsia="zh-CN"/>
        </w:rPr>
        <w:t>建设</w:t>
      </w:r>
      <w:r>
        <w:rPr>
          <w:rFonts w:hint="eastAsia" w:ascii="Times New Roman" w:hAnsi="Times New Roman"/>
          <w:b w:val="0"/>
          <w:sz w:val="24"/>
          <w:lang w:val="en-US" w:eastAsia="zh-CN"/>
        </w:rPr>
        <w:t>厂商及</w:t>
      </w:r>
      <w:r>
        <w:rPr>
          <w:rFonts w:ascii="Times New Roman" w:hAnsi="Times New Roman" w:eastAsia="宋体"/>
          <w:b w:val="0"/>
          <w:sz w:val="24"/>
        </w:rPr>
        <w:t>版本</w:t>
      </w:r>
      <w:r>
        <w:rPr>
          <w:rFonts w:hint="eastAsia" w:ascii="Times New Roman" w:hAnsi="Times New Roman"/>
          <w:b w:val="0"/>
          <w:sz w:val="24"/>
          <w:lang w:val="en-US" w:eastAsia="zh-CN"/>
        </w:rPr>
        <w:t>各不相同</w:t>
      </w:r>
      <w:r>
        <w:rPr>
          <w:rFonts w:ascii="Times New Roman" w:hAnsi="Times New Roman" w:eastAsia="宋体"/>
          <w:b w:val="0"/>
          <w:sz w:val="24"/>
        </w:rPr>
        <w:t>，信息系统异构问题突出。在此背景下，本研究以A医药集团互联网医院为研究对象，聚焦于服务流程的系统性优化问题，力图通过数据驱动的方法科学诊断流程瓶颈，提出切实可行的优化方案，为集团的数字化转型战略提供运营管理层面的支撑。</w:t>
      </w:r>
    </w:p>
    <w:p w14:paraId="41696B2B">
      <w:pPr>
        <w:spacing w:before="480" w:after="120" w:line="240" w:lineRule="auto"/>
        <w:jc w:val="center"/>
        <w:outlineLvl w:val="1"/>
      </w:pPr>
      <w:bookmarkStart w:id="5" w:name="_Toc14941"/>
      <w:r>
        <w:rPr>
          <w:rFonts w:ascii="Times New Roman" w:hAnsi="Times New Roman" w:eastAsia="黑体"/>
          <w:b/>
          <w:sz w:val="28"/>
        </w:rPr>
        <w:t>第二节　研究问题与意义</w:t>
      </w:r>
      <w:bookmarkEnd w:id="5"/>
    </w:p>
    <w:p w14:paraId="5C296AF2">
      <w:pPr>
        <w:spacing w:before="240" w:after="120" w:line="240" w:lineRule="auto"/>
        <w:ind w:firstLine="520"/>
        <w:outlineLvl w:val="2"/>
      </w:pPr>
      <w:bookmarkStart w:id="6" w:name="_Toc17641"/>
      <w:r>
        <w:rPr>
          <w:rFonts w:ascii="Times New Roman" w:hAnsi="Times New Roman" w:eastAsia="黑体"/>
          <w:b/>
          <w:sz w:val="26"/>
        </w:rPr>
        <w:t>一、核心研究问题的提出</w:t>
      </w:r>
      <w:bookmarkEnd w:id="6"/>
    </w:p>
    <w:p w14:paraId="6E548375">
      <w:pPr>
        <w:spacing w:before="0" w:after="0" w:line="400" w:lineRule="exact"/>
        <w:ind w:firstLine="480"/>
        <w:jc w:val="both"/>
      </w:pPr>
      <w:r>
        <w:rPr>
          <w:rFonts w:ascii="Times New Roman" w:hAnsi="Times New Roman" w:eastAsia="宋体"/>
          <w:b w:val="0"/>
          <w:sz w:val="24"/>
        </w:rPr>
        <w:t>在A医药集团互联网医院的运营实践中，以下三个相互关联的问题构成了本研究的核心关注点。</w:t>
      </w:r>
    </w:p>
    <w:p w14:paraId="460E7AB7">
      <w:pPr>
        <w:spacing w:before="0" w:after="0" w:line="400" w:lineRule="exact"/>
        <w:ind w:firstLine="480"/>
        <w:jc w:val="both"/>
      </w:pPr>
      <w:r>
        <w:rPr>
          <w:rFonts w:ascii="Times New Roman" w:hAnsi="Times New Roman" w:eastAsia="宋体"/>
          <w:b w:val="0"/>
          <w:sz w:val="24"/>
        </w:rPr>
        <w:t>第一个问题是线上问诊与线下检查、取药流程之间存在明显的流程断点。在现有的服务流程中，患者通过互联网平台完成在线问诊后，如需进行线下检查或取药，往往需要重新进入线下就医流程，线上和线下环节之间缺乏有效的信息传递和流程衔接机制。这种断点不仅降低了患者的就医体验，也造成了集团内医疗资源的重复配置和低效利用。具体表现为：电子处方到线下检查的衔接断点（</w:t>
      </w:r>
      <w:r>
        <w:rPr>
          <w:rFonts w:hint="eastAsia" w:ascii="Times New Roman" w:hAnsi="Times New Roman"/>
          <w:b w:val="0"/>
          <w:sz w:val="24"/>
          <w:lang w:val="en-US" w:eastAsia="zh-CN"/>
        </w:rPr>
        <w:t>检验检查</w:t>
      </w:r>
      <w:r>
        <w:rPr>
          <w:rFonts w:hint="eastAsia" w:ascii="Times New Roman" w:hAnsi="Times New Roman"/>
          <w:b w:val="0"/>
          <w:sz w:val="24"/>
          <w:lang w:val="en-US" w:eastAsia="zh-CN"/>
        </w:rPr>
        <w:t>预约</w:t>
      </w:r>
      <w:r>
        <w:rPr>
          <w:rFonts w:ascii="Times New Roman" w:hAnsi="Times New Roman" w:eastAsia="宋体"/>
          <w:b w:val="0"/>
          <w:sz w:val="24"/>
        </w:rPr>
        <w:t>系统与互联网医院平台之间无数据接口）、检查结果到复诊的信息回路断点（PACS影像系统与平台之间的数据传输未完全自动化）和药品配送的</w:t>
      </w:r>
      <w:r>
        <w:rPr>
          <w:rFonts w:hint="eastAsia" w:ascii="Times New Roman" w:hAnsi="Times New Roman"/>
          <w:b w:val="0"/>
          <w:sz w:val="24"/>
          <w:lang w:eastAsia="zh-CN"/>
        </w:rPr>
        <w:t>“最后一公里”</w:t>
      </w:r>
      <w:r>
        <w:rPr>
          <w:rFonts w:ascii="Times New Roman" w:hAnsi="Times New Roman" w:eastAsia="宋体"/>
          <w:b w:val="0"/>
          <w:sz w:val="24"/>
        </w:rPr>
        <w:t>问题。</w:t>
      </w:r>
    </w:p>
    <w:p w14:paraId="0A3C73C4">
      <w:pPr>
        <w:spacing w:before="0" w:after="0" w:line="400" w:lineRule="exact"/>
        <w:ind w:firstLine="480"/>
        <w:jc w:val="both"/>
      </w:pPr>
      <w:r>
        <w:rPr>
          <w:rFonts w:ascii="Times New Roman" w:hAnsi="Times New Roman" w:eastAsia="宋体"/>
          <w:b w:val="0"/>
          <w:sz w:val="24"/>
        </w:rPr>
        <w:t>第二个问题是多院区之间的协同障碍。A医药集团旗下多家医院在地理分布、信息系统和管理标准等方面存在差异。不同院区使用</w:t>
      </w:r>
      <w:r>
        <w:rPr>
          <w:rFonts w:ascii="Times New Roman" w:hAnsi="Times New Roman" w:eastAsia="宋体"/>
          <w:b w:val="0"/>
          <w:sz w:val="24"/>
        </w:rPr>
        <w:t>不同厂商</w:t>
      </w:r>
      <w:r>
        <w:rPr>
          <w:rFonts w:ascii="Times New Roman" w:hAnsi="Times New Roman" w:eastAsia="宋体"/>
          <w:b w:val="0"/>
          <w:sz w:val="24"/>
        </w:rPr>
        <w:t>或</w:t>
      </w:r>
      <w:r>
        <w:rPr>
          <w:rFonts w:ascii="Times New Roman" w:hAnsi="Times New Roman" w:eastAsia="宋体"/>
          <w:b w:val="0"/>
          <w:sz w:val="24"/>
        </w:rPr>
        <w:t>不同版本</w:t>
      </w:r>
      <w:r>
        <w:rPr>
          <w:rFonts w:ascii="Times New Roman" w:hAnsi="Times New Roman" w:eastAsia="宋体"/>
          <w:b w:val="0"/>
          <w:sz w:val="24"/>
        </w:rPr>
        <w:t>的HIS系统，导致患者数据难以在不同院区之间实时共享和互认（牛雨婷等，2024）。当患者需要跨院区就诊时，面临重复建档、重复检查和信息断层等问题。从集团管理的角度来看，这种"信息孤岛"现象使得统一的流程标准和质控体系难以建立（靳巍巍等，2025）。</w:t>
      </w:r>
    </w:p>
    <w:p w14:paraId="00F38439">
      <w:pPr>
        <w:spacing w:before="0" w:after="0" w:line="400" w:lineRule="exact"/>
        <w:ind w:firstLine="480"/>
        <w:jc w:val="both"/>
      </w:pPr>
      <w:r>
        <w:rPr>
          <w:rFonts w:ascii="Times New Roman" w:hAnsi="Times New Roman" w:eastAsia="宋体"/>
          <w:b w:val="0"/>
          <w:sz w:val="24"/>
        </w:rPr>
        <w:t>第三个问题是运营数据未被有效利用。A医药集团的互联网医院平台在运营过程中积累了一千余万条事件日志数据，包括患者的问诊记录、处方流转数据和检查预约数据等。这些数据蕴含着丰富的流程运行信息，但目前主要用于简单的描述性统计分析，尚未被系统地用于流程诊断。如何利用数据驱动的方法从这些运营日志中提取有关流程效率、瓶颈位置和变异模式的信息，是本研究试图解决的方法论问题。</w:t>
      </w:r>
    </w:p>
    <w:p w14:paraId="79F5BA15">
      <w:pPr>
        <w:spacing w:before="0" w:after="0" w:line="400" w:lineRule="exact"/>
        <w:ind w:firstLine="480"/>
        <w:jc w:val="both"/>
      </w:pPr>
      <w:r>
        <w:rPr>
          <w:rFonts w:ascii="Times New Roman" w:hAnsi="Times New Roman" w:eastAsia="宋体"/>
          <w:b w:val="0"/>
          <w:sz w:val="24"/>
        </w:rPr>
        <w:t>三个问题</w:t>
      </w:r>
      <w:r>
        <w:rPr>
          <w:rFonts w:hint="eastAsia" w:ascii="Times New Roman" w:hAnsi="Times New Roman"/>
          <w:b w:val="0"/>
          <w:sz w:val="24"/>
          <w:lang w:val="en-US" w:eastAsia="zh-CN"/>
        </w:rPr>
        <w:t>并非</w:t>
      </w:r>
      <w:r>
        <w:rPr>
          <w:rFonts w:hint="eastAsia" w:ascii="Times New Roman" w:hAnsi="Times New Roman"/>
          <w:b w:val="0"/>
          <w:sz w:val="24"/>
          <w:lang w:val="en-US" w:eastAsia="zh-CN"/>
        </w:rPr>
        <w:t>孤立</w:t>
      </w:r>
      <w:r>
        <w:rPr>
          <w:rFonts w:hint="eastAsia" w:ascii="Times New Roman" w:hAnsi="Times New Roman"/>
          <w:b w:val="0"/>
          <w:sz w:val="24"/>
          <w:lang w:val="en-US" w:eastAsia="zh-CN"/>
        </w:rPr>
        <w:t>存在</w:t>
      </w:r>
      <w:r>
        <w:rPr>
          <w:rFonts w:hint="eastAsia" w:ascii="Times New Roman" w:hAnsi="Times New Roman"/>
          <w:b w:val="0"/>
          <w:sz w:val="24"/>
          <w:lang w:val="en-US" w:eastAsia="zh-CN"/>
        </w:rPr>
        <w:t>而是</w:t>
      </w:r>
      <w:r>
        <w:rPr>
          <w:rFonts w:hint="eastAsia" w:ascii="Times New Roman" w:hAnsi="Times New Roman"/>
          <w:b w:val="0"/>
          <w:sz w:val="24"/>
          <w:lang w:val="en-US" w:eastAsia="zh-CN"/>
        </w:rPr>
        <w:t>相互</w:t>
      </w:r>
      <w:r>
        <w:rPr>
          <w:rFonts w:hint="eastAsia" w:ascii="Times New Roman" w:hAnsi="Times New Roman"/>
          <w:b w:val="0"/>
          <w:sz w:val="24"/>
          <w:lang w:val="en-US" w:eastAsia="zh-CN"/>
        </w:rPr>
        <w:t>关联</w:t>
      </w:r>
      <w:r>
        <w:rPr>
          <w:rFonts w:hint="eastAsia" w:ascii="Times New Roman" w:hAnsi="Times New Roman"/>
          <w:b w:val="0"/>
          <w:sz w:val="24"/>
          <w:lang w:val="en-US" w:eastAsia="zh-CN"/>
        </w:rPr>
        <w:t>并</w:t>
      </w:r>
      <w:r>
        <w:rPr>
          <w:rFonts w:hint="eastAsia" w:ascii="Times New Roman" w:hAnsi="Times New Roman"/>
          <w:b w:val="0"/>
          <w:sz w:val="24"/>
          <w:lang w:val="en-US" w:eastAsia="zh-CN"/>
        </w:rPr>
        <w:t>互相</w:t>
      </w:r>
      <w:r>
        <w:rPr>
          <w:rFonts w:hint="eastAsia" w:ascii="Times New Roman" w:hAnsi="Times New Roman"/>
          <w:b w:val="0"/>
          <w:sz w:val="24"/>
          <w:lang w:val="en-US" w:eastAsia="zh-CN"/>
        </w:rPr>
        <w:t>强化</w:t>
      </w:r>
      <w:r>
        <w:rPr>
          <w:rFonts w:ascii="Times New Roman" w:hAnsi="Times New Roman" w:eastAsia="宋体"/>
          <w:b w:val="0"/>
          <w:sz w:val="24"/>
        </w:rPr>
        <w:t>：流程断点</w:t>
      </w:r>
      <w:r>
        <w:rPr>
          <w:rFonts w:hint="eastAsia" w:ascii="Times New Roman" w:hAnsi="Times New Roman"/>
          <w:b w:val="0"/>
          <w:sz w:val="24"/>
          <w:lang w:val="en-US" w:eastAsia="zh-CN"/>
        </w:rPr>
        <w:t>问题</w:t>
      </w:r>
      <w:r>
        <w:rPr>
          <w:rFonts w:ascii="Times New Roman" w:hAnsi="Times New Roman" w:eastAsia="宋体"/>
          <w:b w:val="0"/>
          <w:sz w:val="24"/>
        </w:rPr>
        <w:t>要靠流程重新设计来弥合，多院区协同依赖跨组织协调机制，数据利用则指向分析与决策方法的更新，而它们又互相牵动。归结起来</w:t>
      </w:r>
      <w:r>
        <w:rPr>
          <w:rFonts w:hint="eastAsia" w:ascii="Times New Roman" w:hAnsi="Times New Roman"/>
          <w:b w:val="0"/>
          <w:sz w:val="24"/>
          <w:lang w:val="en-US" w:eastAsia="zh-CN"/>
        </w:rPr>
        <w:t>看</w:t>
      </w:r>
      <w:r>
        <w:rPr>
          <w:rFonts w:ascii="Times New Roman" w:hAnsi="Times New Roman" w:eastAsia="宋体"/>
          <w:b w:val="0"/>
          <w:sz w:val="24"/>
        </w:rPr>
        <w:t>：在数字化转型背景下，</w:t>
      </w:r>
      <w:r>
        <w:rPr>
          <w:rFonts w:hint="eastAsia" w:ascii="Times New Roman" w:hAnsi="Times New Roman"/>
          <w:b w:val="0"/>
          <w:sz w:val="24"/>
          <w:lang w:val="en-US" w:eastAsia="zh-CN"/>
        </w:rPr>
        <w:t>需要</w:t>
      </w:r>
      <w:r>
        <w:rPr>
          <w:rFonts w:ascii="Times New Roman" w:hAnsi="Times New Roman" w:eastAsia="宋体"/>
          <w:b w:val="0"/>
          <w:sz w:val="24"/>
        </w:rPr>
        <w:t>为A医药集团这样的多院区场景设计一套数据驱动的服务流程优化方案，把流程效率提上去，把患者体验补回来。</w:t>
      </w:r>
    </w:p>
    <w:p w14:paraId="1C6C8E50">
      <w:pPr>
        <w:spacing w:before="240" w:after="120" w:line="240" w:lineRule="auto"/>
        <w:ind w:firstLine="520"/>
        <w:outlineLvl w:val="2"/>
      </w:pPr>
      <w:bookmarkStart w:id="7" w:name="_Toc8268"/>
      <w:r>
        <w:rPr>
          <w:rFonts w:ascii="Times New Roman" w:hAnsi="Times New Roman" w:eastAsia="黑体"/>
          <w:b/>
          <w:sz w:val="26"/>
        </w:rPr>
        <w:t>二、理论意义</w:t>
      </w:r>
      <w:bookmarkEnd w:id="7"/>
    </w:p>
    <w:p w14:paraId="37B60EBA">
      <w:pPr>
        <w:spacing w:before="0" w:after="0" w:line="400" w:lineRule="exact"/>
        <w:ind w:firstLine="480"/>
        <w:jc w:val="both"/>
      </w:pPr>
      <w:r>
        <w:rPr>
          <w:rFonts w:ascii="Times New Roman" w:hAnsi="Times New Roman" w:eastAsia="宋体"/>
          <w:b w:val="0"/>
          <w:sz w:val="24"/>
        </w:rPr>
        <w:t>本研究的理论贡献主要体现在以下三个方面。</w:t>
      </w:r>
    </w:p>
    <w:p w14:paraId="206DF976">
      <w:pPr>
        <w:spacing w:before="0" w:after="0" w:line="400" w:lineRule="exact"/>
        <w:ind w:firstLine="480"/>
        <w:jc w:val="both"/>
      </w:pPr>
      <w:r>
        <w:rPr>
          <w:rFonts w:ascii="Times New Roman" w:hAnsi="Times New Roman" w:eastAsia="宋体"/>
          <w:b w:val="0"/>
          <w:sz w:val="24"/>
        </w:rPr>
        <w:t>第一，方法论层面的创新——将过程分析法与AHP方法整合为"诊断→评价→优化→验证"的完整闭环。现有的医疗服务流程优化研究多采用精益医疗等改进范式（Samanta等，2023），诊断环节偏重经验判断和定性分析，精确性与客观性难免受限。本研究把过程分析法（Process Mining）引入互联网医院的流程诊断，</w:t>
      </w:r>
      <w:r>
        <w:rPr>
          <w:rFonts w:hint="eastAsia" w:ascii="Times New Roman" w:hAnsi="Times New Roman"/>
          <w:b w:val="0"/>
          <w:sz w:val="24"/>
          <w:lang w:val="en-US" w:eastAsia="zh-CN"/>
        </w:rPr>
        <w:t>从</w:t>
      </w:r>
      <w:r>
        <w:rPr>
          <w:rFonts w:ascii="Times New Roman" w:hAnsi="Times New Roman" w:eastAsia="宋体"/>
          <w:b w:val="0"/>
          <w:sz w:val="24"/>
        </w:rPr>
        <w:t>一千余万条事件日志</w:t>
      </w:r>
      <w:r>
        <w:rPr>
          <w:rFonts w:hint="eastAsia" w:ascii="Times New Roman" w:hAnsi="Times New Roman"/>
          <w:b w:val="0"/>
          <w:sz w:val="24"/>
          <w:lang w:val="en-US" w:eastAsia="zh-CN"/>
        </w:rPr>
        <w:t>中</w:t>
      </w:r>
      <w:r>
        <w:rPr>
          <w:rFonts w:hint="eastAsia" w:ascii="Times New Roman" w:hAnsi="Times New Roman"/>
          <w:b w:val="0"/>
          <w:sz w:val="24"/>
          <w:lang w:val="en-US" w:eastAsia="zh-CN"/>
        </w:rPr>
        <w:t>提取</w:t>
      </w:r>
      <w:r>
        <w:rPr>
          <w:rFonts w:hint="eastAsia" w:ascii="Times New Roman" w:hAnsi="Times New Roman"/>
          <w:b w:val="0"/>
          <w:sz w:val="24"/>
          <w:lang w:val="en-US" w:eastAsia="zh-CN"/>
        </w:rPr>
        <w:t>流程运行</w:t>
      </w:r>
      <w:r>
        <w:rPr>
          <w:rFonts w:hint="eastAsia" w:ascii="Times New Roman" w:hAnsi="Times New Roman"/>
          <w:b w:val="0"/>
          <w:sz w:val="24"/>
          <w:lang w:val="en-US" w:eastAsia="zh-CN"/>
        </w:rPr>
        <w:t>的</w:t>
      </w:r>
      <w:r>
        <w:rPr>
          <w:rFonts w:hint="eastAsia" w:ascii="Times New Roman" w:hAnsi="Times New Roman"/>
          <w:b w:val="0"/>
          <w:sz w:val="24"/>
          <w:lang w:val="en-US" w:eastAsia="zh-CN"/>
        </w:rPr>
        <w:t>客观</w:t>
      </w:r>
      <w:r>
        <w:rPr>
          <w:rFonts w:hint="eastAsia" w:ascii="Times New Roman" w:hAnsi="Times New Roman"/>
          <w:b w:val="0"/>
          <w:sz w:val="24"/>
          <w:lang w:val="en-US" w:eastAsia="zh-CN"/>
        </w:rPr>
        <w:t>信息</w:t>
      </w:r>
      <w:r>
        <w:rPr>
          <w:rFonts w:ascii="Times New Roman" w:hAnsi="Times New Roman" w:eastAsia="宋体"/>
          <w:b w:val="0"/>
          <w:sz w:val="24"/>
        </w:rPr>
        <w:t>，再把AHP方法嵌入优先级评价环节。</w:t>
      </w:r>
      <w:r>
        <w:rPr>
          <w:rFonts w:hint="eastAsia" w:ascii="Times New Roman" w:hAnsi="Times New Roman"/>
          <w:b w:val="0"/>
          <w:sz w:val="24"/>
          <w:lang w:val="en-US" w:eastAsia="zh-CN"/>
        </w:rPr>
        <w:t>过程分析法</w:t>
      </w:r>
      <w:r>
        <w:rPr>
          <w:rFonts w:hint="eastAsia" w:ascii="Times New Roman" w:hAnsi="Times New Roman"/>
          <w:b w:val="0"/>
          <w:sz w:val="24"/>
          <w:lang w:val="en-US" w:eastAsia="zh-CN"/>
        </w:rPr>
        <w:t>用于</w:t>
      </w:r>
      <w:r>
        <w:rPr>
          <w:rFonts w:ascii="Times New Roman" w:hAnsi="Times New Roman" w:eastAsia="宋体"/>
          <w:b w:val="0"/>
          <w:sz w:val="24"/>
        </w:rPr>
        <w:t>回答"有哪些瓶颈、有多严重"，</w:t>
      </w:r>
      <w:r>
        <w:rPr>
          <w:rFonts w:hint="eastAsia" w:ascii="Times New Roman" w:hAnsi="Times New Roman"/>
          <w:b w:val="0"/>
          <w:sz w:val="24"/>
          <w:lang w:val="en-US" w:eastAsia="zh-CN"/>
        </w:rPr>
        <w:t>AHP</w:t>
      </w:r>
      <w:r>
        <w:rPr>
          <w:rFonts w:ascii="Times New Roman" w:hAnsi="Times New Roman" w:eastAsia="宋体"/>
          <w:b w:val="0"/>
          <w:sz w:val="24"/>
        </w:rPr>
        <w:t>方法</w:t>
      </w:r>
      <w:r>
        <w:rPr>
          <w:rFonts w:hint="eastAsia" w:ascii="Times New Roman" w:hAnsi="Times New Roman"/>
          <w:b w:val="0"/>
          <w:sz w:val="24"/>
          <w:lang w:val="en-US" w:eastAsia="zh-CN"/>
        </w:rPr>
        <w:t>用于</w:t>
      </w:r>
      <w:r>
        <w:rPr>
          <w:rFonts w:ascii="Times New Roman" w:hAnsi="Times New Roman" w:eastAsia="宋体"/>
          <w:b w:val="0"/>
          <w:sz w:val="24"/>
        </w:rPr>
        <w:t>回答"</w:t>
      </w:r>
      <w:r>
        <w:rPr>
          <w:rFonts w:hint="eastAsia" w:ascii="Times New Roman" w:hAnsi="Times New Roman"/>
          <w:b w:val="0"/>
          <w:sz w:val="24"/>
          <w:lang w:val="en-US" w:eastAsia="zh-CN"/>
        </w:rPr>
        <w:t>应该</w:t>
      </w:r>
      <w:r>
        <w:rPr>
          <w:rFonts w:hint="eastAsia" w:ascii="Times New Roman" w:hAnsi="Times New Roman"/>
          <w:b w:val="0"/>
          <w:sz w:val="24"/>
          <w:lang w:val="en-US" w:eastAsia="zh-CN"/>
        </w:rPr>
        <w:t>优</w:t>
      </w:r>
      <w:r>
        <w:rPr>
          <w:rFonts w:ascii="Times New Roman" w:hAnsi="Times New Roman" w:eastAsia="宋体"/>
          <w:b w:val="0"/>
          <w:sz w:val="24"/>
        </w:rPr>
        <w:t>先</w:t>
      </w:r>
      <w:r>
        <w:rPr>
          <w:rFonts w:hint="eastAsia" w:ascii="Times New Roman" w:hAnsi="Times New Roman"/>
          <w:b w:val="0"/>
          <w:sz w:val="24"/>
          <w:lang w:val="en-US" w:eastAsia="zh-CN"/>
        </w:rPr>
        <w:t>解决</w:t>
      </w:r>
      <w:r>
        <w:rPr>
          <w:rFonts w:ascii="Times New Roman" w:hAnsi="Times New Roman" w:eastAsia="宋体"/>
          <w:b w:val="0"/>
          <w:sz w:val="24"/>
        </w:rPr>
        <w:t>哪</w:t>
      </w:r>
      <w:r>
        <w:rPr>
          <w:rFonts w:hint="eastAsia" w:ascii="Times New Roman" w:hAnsi="Times New Roman"/>
          <w:b w:val="0"/>
          <w:sz w:val="24"/>
          <w:lang w:val="en-US" w:eastAsia="zh-CN"/>
        </w:rPr>
        <w:t>些</w:t>
      </w:r>
      <w:r>
        <w:rPr>
          <w:rFonts w:hint="eastAsia" w:ascii="Times New Roman" w:hAnsi="Times New Roman"/>
          <w:b w:val="0"/>
          <w:sz w:val="24"/>
          <w:lang w:val="en-US" w:eastAsia="zh-CN"/>
        </w:rPr>
        <w:t>问题</w:t>
      </w:r>
      <w:r>
        <w:rPr>
          <w:rFonts w:ascii="Times New Roman" w:hAnsi="Times New Roman" w:eastAsia="宋体"/>
          <w:b w:val="0"/>
          <w:sz w:val="24"/>
        </w:rPr>
        <w:t>"，流程优化由此从经验驱动转向数据驱动，决策的科学性与系统性随之增强。</w:t>
      </w:r>
    </w:p>
    <w:p w14:paraId="45B41CB4">
      <w:pPr>
        <w:spacing w:before="0" w:after="0" w:line="400" w:lineRule="exact"/>
        <w:ind w:firstLine="480"/>
        <w:jc w:val="both"/>
      </w:pPr>
      <w:r>
        <w:rPr>
          <w:rFonts w:ascii="Times New Roman" w:hAnsi="Times New Roman" w:eastAsia="宋体"/>
          <w:b w:val="0"/>
          <w:sz w:val="24"/>
        </w:rPr>
        <w:t>第二，实践场景层面的创新——将服务蓝图法拓展至多院区互联网医院的复杂服务场景。现有服务蓝图研究多聚焦于单一场景的服务流程建模与设计——Voorheis等（2025）</w:t>
      </w:r>
      <w:r>
        <w:rPr>
          <w:rFonts w:ascii="Times New Roman" w:hAnsi="Times New Roman" w:eastAsia="宋体"/>
          <w:b w:val="0"/>
          <w:sz w:val="24"/>
        </w:rPr>
        <w:t>对于跨组织、跨系统的复合服务场景的建模研究相对不足。本研究以A医药集团多院区互联网医院为案例，绘制了涵盖患者行为层、后台操作层和系统支持层的三层服务蓝图，并在蓝图上标注了跨院区的流程断点和信息孤岛位置，为复杂组织场景下的服务蓝图应用提供了方法示范。</w:t>
      </w:r>
    </w:p>
    <w:p w14:paraId="08E6B85C">
      <w:pPr>
        <w:spacing w:before="0" w:after="0" w:line="400" w:lineRule="exact"/>
        <w:ind w:firstLine="480"/>
        <w:jc w:val="both"/>
      </w:pPr>
      <w:r>
        <w:rPr>
          <w:rFonts w:ascii="Times New Roman" w:hAnsi="Times New Roman" w:eastAsia="宋体"/>
          <w:b w:val="0"/>
          <w:sz w:val="24"/>
        </w:rPr>
        <w:t>第三，理论框架层面的创新——构建了适用于互联网医院多院区场景的服务流程优化方法论框架。该框架将运营管理领域的多种理论工具</w:t>
      </w:r>
      <w:r>
        <w:rPr>
          <w:rFonts w:hint="eastAsia" w:ascii="Times New Roman" w:hAnsi="Times New Roman"/>
          <w:b w:val="0"/>
          <w:sz w:val="24"/>
          <w:lang w:eastAsia="zh-CN"/>
        </w:rPr>
        <w:t>：</w:t>
      </w:r>
      <w:r>
        <w:rPr>
          <w:rFonts w:hint="eastAsia" w:ascii="Times New Roman" w:hAnsi="Times New Roman"/>
          <w:b w:val="0"/>
          <w:sz w:val="24"/>
          <w:lang w:val="en-US" w:eastAsia="zh-CN"/>
        </w:rPr>
        <w:t>对</w:t>
      </w:r>
      <w:r>
        <w:rPr>
          <w:rFonts w:ascii="Times New Roman" w:hAnsi="Times New Roman" w:eastAsia="宋体"/>
          <w:b w:val="0"/>
          <w:sz w:val="24"/>
        </w:rPr>
        <w:t>过程分析法、AHP、服务蓝图法和准实验法</w:t>
      </w:r>
      <w:r>
        <w:rPr>
          <w:rFonts w:ascii="Times New Roman" w:hAnsi="Times New Roman" w:eastAsia="宋体"/>
          <w:b w:val="0"/>
          <w:sz w:val="24"/>
        </w:rPr>
        <w:t>进行了系统整合，形成了从问题诊断到优先级排序、从方案设计到效果验证的完整研究路径。这一方法论框架不仅适用于互联网医院，对于其他面临类似多场所、</w:t>
      </w:r>
      <w:r>
        <w:rPr>
          <w:rFonts w:hint="eastAsia" w:ascii="Times New Roman" w:hAnsi="Times New Roman"/>
          <w:b w:val="0"/>
          <w:sz w:val="24"/>
          <w:lang w:val="en-US" w:eastAsia="zh-CN"/>
        </w:rPr>
        <w:t>需要</w:t>
      </w:r>
      <w:r>
        <w:rPr>
          <w:rFonts w:ascii="Times New Roman" w:hAnsi="Times New Roman" w:eastAsia="宋体"/>
          <w:b w:val="0"/>
          <w:sz w:val="24"/>
        </w:rPr>
        <w:t>多渠道协同</w:t>
      </w:r>
      <w:r>
        <w:rPr>
          <w:rFonts w:ascii="Times New Roman" w:hAnsi="Times New Roman" w:eastAsia="宋体"/>
          <w:b w:val="0"/>
          <w:sz w:val="24"/>
        </w:rPr>
        <w:t>的服务组织也具有一定的理论参考价值。</w:t>
      </w:r>
    </w:p>
    <w:p w14:paraId="54DDCF62">
      <w:pPr>
        <w:spacing w:before="240" w:after="120" w:line="240" w:lineRule="auto"/>
        <w:ind w:firstLine="520"/>
        <w:outlineLvl w:val="2"/>
      </w:pPr>
      <w:bookmarkStart w:id="8" w:name="_Toc22330"/>
      <w:r>
        <w:rPr>
          <w:rFonts w:ascii="Times New Roman" w:hAnsi="Times New Roman" w:eastAsia="黑体"/>
          <w:b/>
          <w:sz w:val="26"/>
        </w:rPr>
        <w:t>三、实践意义</w:t>
      </w:r>
      <w:bookmarkEnd w:id="8"/>
    </w:p>
    <w:p w14:paraId="7293CDF4">
      <w:pPr>
        <w:spacing w:before="0" w:after="0" w:line="400" w:lineRule="exact"/>
        <w:ind w:firstLine="480"/>
        <w:jc w:val="both"/>
      </w:pPr>
      <w:r>
        <w:rPr>
          <w:rFonts w:ascii="Times New Roman" w:hAnsi="Times New Roman" w:eastAsia="宋体"/>
          <w:b w:val="0"/>
          <w:sz w:val="24"/>
        </w:rPr>
        <w:t>本研究的实践价值主要体现在以下方面。</w:t>
      </w:r>
    </w:p>
    <w:p w14:paraId="737B409E">
      <w:pPr>
        <w:spacing w:before="0" w:after="0" w:line="400" w:lineRule="exact"/>
        <w:ind w:firstLine="480"/>
        <w:jc w:val="both"/>
      </w:pPr>
      <w:r>
        <w:rPr>
          <w:rFonts w:ascii="Times New Roman" w:hAnsi="Times New Roman" w:eastAsia="宋体"/>
          <w:b w:val="0"/>
          <w:sz w:val="24"/>
        </w:rPr>
        <w:t>第一，为A医药集团提供了一套可落地的</w:t>
      </w:r>
      <w:r>
        <w:rPr>
          <w:rFonts w:hint="eastAsia" w:ascii="Times New Roman" w:hAnsi="Times New Roman"/>
          <w:b w:val="0"/>
          <w:sz w:val="24"/>
          <w:lang w:eastAsia="zh-CN"/>
        </w:rPr>
        <w:t>、</w:t>
      </w:r>
      <w:r>
        <w:rPr>
          <w:rFonts w:hint="eastAsia" w:ascii="Times New Roman" w:hAnsi="Times New Roman"/>
          <w:b w:val="0"/>
          <w:sz w:val="24"/>
          <w:lang w:val="en-US" w:eastAsia="zh-CN"/>
        </w:rPr>
        <w:t>基于</w:t>
      </w:r>
      <w:r>
        <w:rPr>
          <w:rFonts w:ascii="Times New Roman" w:hAnsi="Times New Roman" w:eastAsia="宋体"/>
          <w:b w:val="0"/>
          <w:sz w:val="24"/>
        </w:rPr>
        <w:t>数据驱动</w:t>
      </w:r>
      <w:r>
        <w:rPr>
          <w:rFonts w:hint="eastAsia" w:ascii="Times New Roman" w:hAnsi="Times New Roman"/>
          <w:b w:val="0"/>
          <w:sz w:val="24"/>
          <w:lang w:val="en-US" w:eastAsia="zh-CN"/>
        </w:rPr>
        <w:t>的</w:t>
      </w:r>
      <w:r>
        <w:rPr>
          <w:rFonts w:ascii="Times New Roman" w:hAnsi="Times New Roman" w:eastAsia="宋体"/>
          <w:b w:val="0"/>
          <w:sz w:val="24"/>
        </w:rPr>
        <w:t>服</w:t>
      </w:r>
      <w:bookmarkStart w:id="88" w:name="_GoBack"/>
      <w:bookmarkEnd w:id="88"/>
      <w:r>
        <w:rPr>
          <w:rFonts w:ascii="Times New Roman" w:hAnsi="Times New Roman" w:eastAsia="宋体"/>
          <w:b w:val="0"/>
          <w:sz w:val="24"/>
        </w:rPr>
        <w:t>务流程优化方案。通过过程分析法精确识别了六大流程瓶颈</w:t>
      </w:r>
      <w:r>
        <w:rPr>
          <w:rFonts w:hint="eastAsia" w:ascii="Times New Roman" w:hAnsi="Times New Roman"/>
          <w:b w:val="0"/>
          <w:sz w:val="24"/>
          <w:lang w:eastAsia="zh-CN"/>
        </w:rPr>
        <w:t>：</w:t>
      </w:r>
      <w:r>
        <w:rPr>
          <w:rFonts w:ascii="Times New Roman" w:hAnsi="Times New Roman" w:eastAsia="宋体"/>
          <w:b w:val="0"/>
          <w:sz w:val="24"/>
        </w:rPr>
        <w:t>处方检查衔接断点、</w:t>
      </w:r>
      <w:r>
        <w:rPr>
          <w:rFonts w:ascii="Times New Roman" w:hAnsi="Times New Roman" w:eastAsia="宋体"/>
          <w:b w:val="0"/>
          <w:sz w:val="24"/>
          <w:highlight w:val="yellow"/>
        </w:rPr>
        <w:t>信息孤岛</w:t>
      </w:r>
      <w:r>
        <w:rPr>
          <w:rFonts w:ascii="Times New Roman" w:hAnsi="Times New Roman" w:eastAsia="宋体"/>
          <w:b w:val="0"/>
          <w:sz w:val="24"/>
        </w:rPr>
        <w:t>、检查复诊回路、标准不统一、配送</w:t>
      </w:r>
      <w:r>
        <w:rPr>
          <w:rFonts w:hint="eastAsia" w:ascii="Times New Roman" w:hAnsi="Times New Roman"/>
          <w:b w:val="0"/>
          <w:sz w:val="24"/>
          <w:lang w:eastAsia="zh-CN"/>
        </w:rPr>
        <w:t>“最后一公里”</w:t>
      </w:r>
      <w:r>
        <w:rPr>
          <w:rFonts w:ascii="Times New Roman" w:hAnsi="Times New Roman" w:eastAsia="宋体"/>
          <w:b w:val="0"/>
          <w:sz w:val="24"/>
        </w:rPr>
        <w:t>、数据利用不足</w:t>
      </w:r>
      <w:r>
        <w:rPr>
          <w:rFonts w:ascii="Times New Roman" w:hAnsi="Times New Roman" w:eastAsia="宋体"/>
          <w:b w:val="0"/>
          <w:sz w:val="24"/>
        </w:rPr>
        <w:t>，通过AHP方法确定了各瓶颈的改进优先级</w:t>
      </w:r>
      <w:r>
        <w:rPr>
          <w:rFonts w:hint="eastAsia" w:ascii="Times New Roman" w:hAnsi="Times New Roman"/>
          <w:b w:val="0"/>
          <w:sz w:val="24"/>
          <w:lang w:eastAsia="zh-CN"/>
        </w:rPr>
        <w:t>：</w:t>
      </w:r>
      <w:r>
        <w:rPr>
          <w:rFonts w:ascii="Times New Roman" w:hAnsi="Times New Roman" w:eastAsia="宋体"/>
          <w:b w:val="0"/>
          <w:sz w:val="24"/>
        </w:rPr>
        <w:t>B1处方检查衔接</w:t>
      </w:r>
      <w:r>
        <w:rPr>
          <w:rFonts w:ascii="Times New Roman" w:hAnsi="Times New Roman" w:eastAsia="宋体"/>
          <w:b w:val="0"/>
          <w:sz w:val="24"/>
          <w:highlight w:val="yellow"/>
        </w:rPr>
        <w:t>0.215</w:t>
      </w:r>
      <w:r>
        <w:rPr>
          <w:rFonts w:ascii="Times New Roman" w:hAnsi="Times New Roman" w:eastAsia="宋体"/>
          <w:b w:val="0"/>
          <w:sz w:val="24"/>
        </w:rPr>
        <w:t>最高，B6数据利用不足</w:t>
      </w:r>
      <w:r>
        <w:rPr>
          <w:rFonts w:ascii="Times New Roman" w:hAnsi="Times New Roman" w:eastAsia="宋体"/>
          <w:b w:val="0"/>
          <w:sz w:val="24"/>
          <w:highlight w:val="yellow"/>
        </w:rPr>
        <w:t>0.125</w:t>
      </w:r>
      <w:r>
        <w:rPr>
          <w:rFonts w:ascii="Times New Roman" w:hAnsi="Times New Roman" w:eastAsia="宋体"/>
          <w:b w:val="0"/>
          <w:sz w:val="24"/>
        </w:rPr>
        <w:t>最低</w:t>
      </w:r>
      <w:r>
        <w:rPr>
          <w:rFonts w:ascii="Times New Roman" w:hAnsi="Times New Roman" w:eastAsia="宋体"/>
          <w:b w:val="0"/>
          <w:sz w:val="24"/>
        </w:rPr>
        <w:t>，并基于此</w:t>
      </w:r>
      <w:r>
        <w:rPr>
          <w:rFonts w:hint="eastAsia" w:ascii="Times New Roman" w:hAnsi="Times New Roman"/>
          <w:b w:val="0"/>
          <w:sz w:val="24"/>
          <w:lang w:val="en-US" w:eastAsia="zh-CN"/>
        </w:rPr>
        <w:t>结果</w:t>
      </w:r>
      <w:r>
        <w:rPr>
          <w:rFonts w:ascii="Times New Roman" w:hAnsi="Times New Roman" w:eastAsia="宋体"/>
          <w:b w:val="0"/>
          <w:sz w:val="24"/>
        </w:rPr>
        <w:t>设计了涵盖一体化流程再造、多院区协同机制和智能质控体系三个维度的系统优化方案。准实验验证结果表明，优化方案在试点院区实施后，接诊等待时间减少</w:t>
      </w:r>
      <w:r>
        <w:rPr>
          <w:rFonts w:ascii="Times New Roman" w:hAnsi="Times New Roman" w:eastAsia="宋体"/>
          <w:b w:val="0"/>
          <w:sz w:val="24"/>
          <w:highlight w:val="yellow"/>
        </w:rPr>
        <w:t>32.5%</w:t>
      </w:r>
      <w:r>
        <w:rPr>
          <w:rFonts w:ascii="Times New Roman" w:hAnsi="Times New Roman" w:eastAsia="宋体"/>
          <w:b w:val="0"/>
          <w:sz w:val="24"/>
        </w:rPr>
        <w:t>、检查预约至完成周期缩短</w:t>
      </w:r>
      <w:r>
        <w:rPr>
          <w:rFonts w:ascii="Times New Roman" w:hAnsi="Times New Roman" w:eastAsia="宋体"/>
          <w:b w:val="0"/>
          <w:sz w:val="24"/>
          <w:highlight w:val="yellow"/>
        </w:rPr>
        <w:t>29.1%</w:t>
      </w:r>
      <w:r>
        <w:rPr>
          <w:rFonts w:ascii="Times New Roman" w:hAnsi="Times New Roman" w:eastAsia="宋体"/>
          <w:b w:val="0"/>
          <w:sz w:val="24"/>
        </w:rPr>
        <w:t>、患者整体满意度提升</w:t>
      </w:r>
      <w:r>
        <w:rPr>
          <w:rFonts w:ascii="Times New Roman" w:hAnsi="Times New Roman" w:eastAsia="宋体"/>
          <w:b w:val="0"/>
          <w:sz w:val="24"/>
          <w:highlight w:val="yellow"/>
        </w:rPr>
        <w:t>13.2%</w:t>
      </w:r>
      <w:r>
        <w:rPr>
          <w:rFonts w:ascii="Times New Roman" w:hAnsi="Times New Roman" w:eastAsia="宋体"/>
          <w:b w:val="0"/>
          <w:sz w:val="24"/>
        </w:rPr>
        <w:t>。该方案</w:t>
      </w:r>
      <w:r>
        <w:rPr>
          <w:rFonts w:hint="eastAsia" w:ascii="Times New Roman" w:hAnsi="Times New Roman"/>
          <w:b w:val="0"/>
          <w:sz w:val="24"/>
          <w:lang w:val="en-US" w:eastAsia="zh-CN"/>
        </w:rPr>
        <w:t>的</w:t>
      </w:r>
      <w:r>
        <w:rPr>
          <w:rFonts w:hint="eastAsia" w:ascii="Times New Roman" w:hAnsi="Times New Roman"/>
          <w:b w:val="0"/>
          <w:sz w:val="24"/>
          <w:lang w:val="en-US" w:eastAsia="zh-CN"/>
        </w:rPr>
        <w:t>落地</w:t>
      </w:r>
      <w:r>
        <w:rPr>
          <w:rFonts w:ascii="Times New Roman" w:hAnsi="Times New Roman" w:eastAsia="宋体"/>
          <w:b w:val="0"/>
          <w:sz w:val="24"/>
        </w:rPr>
        <w:t>直接服务于集团"用好平台"的战略目标。</w:t>
      </w:r>
    </w:p>
    <w:p w14:paraId="44B71A8E">
      <w:pPr>
        <w:spacing w:before="0" w:after="0" w:line="400" w:lineRule="exact"/>
        <w:ind w:firstLine="480"/>
        <w:jc w:val="both"/>
      </w:pPr>
      <w:r>
        <w:rPr>
          <w:rFonts w:ascii="Times New Roman" w:hAnsi="Times New Roman" w:eastAsia="宋体"/>
          <w:b w:val="0"/>
          <w:sz w:val="24"/>
        </w:rPr>
        <w:t>第二，为同类互联网医院和多院区医疗集团提供了可参考的流程优化范式。A医药集团的多院区互联网医院模式在国内具有一定的代表性，本研究形成的"数据诊断→AHP排序→蓝图设计→准实验验证"四步方法论，在技术路线、工具选择和分析框架上均具有可复制性，可为其他医疗机构推进互联网医院流程改进提供方法论参考和实践借鉴。</w:t>
      </w:r>
    </w:p>
    <w:p w14:paraId="446F2233">
      <w:pPr>
        <w:spacing w:before="0" w:after="0" w:line="400" w:lineRule="exact"/>
        <w:ind w:firstLine="480"/>
        <w:jc w:val="both"/>
      </w:pPr>
      <w:r>
        <w:rPr>
          <w:rFonts w:ascii="Times New Roman" w:hAnsi="Times New Roman" w:eastAsia="宋体"/>
          <w:b w:val="0"/>
          <w:sz w:val="24"/>
        </w:rPr>
        <w:t>第三，为医疗管理决策者提供了数据驱动的流程诊断工具和方法。本研究展示了如何利用现有的平台运营日志</w:t>
      </w:r>
      <w:r>
        <w:rPr>
          <w:rFonts w:hint="eastAsia" w:ascii="Times New Roman" w:hAnsi="Times New Roman"/>
          <w:b w:val="0"/>
          <w:sz w:val="24"/>
          <w:lang w:eastAsia="zh-CN"/>
        </w:rPr>
        <w:t>：</w:t>
      </w:r>
      <w:r>
        <w:rPr>
          <w:rFonts w:ascii="Times New Roman" w:hAnsi="Times New Roman" w:eastAsia="宋体"/>
          <w:b w:val="0"/>
          <w:sz w:val="24"/>
        </w:rPr>
        <w:t>大多数互联网医院都已</w:t>
      </w:r>
      <w:r>
        <w:rPr>
          <w:rFonts w:hint="eastAsia" w:ascii="Times New Roman" w:hAnsi="Times New Roman"/>
          <w:b w:val="0"/>
          <w:sz w:val="24"/>
          <w:lang w:val="en-US" w:eastAsia="zh-CN"/>
        </w:rPr>
        <w:t>经</w:t>
      </w:r>
      <w:r>
        <w:rPr>
          <w:rFonts w:ascii="Times New Roman" w:hAnsi="Times New Roman" w:eastAsia="宋体"/>
          <w:b w:val="0"/>
          <w:sz w:val="24"/>
        </w:rPr>
        <w:t>积累</w:t>
      </w:r>
      <w:r>
        <w:rPr>
          <w:rFonts w:hint="eastAsia" w:ascii="Times New Roman" w:hAnsi="Times New Roman"/>
          <w:b w:val="0"/>
          <w:sz w:val="24"/>
          <w:lang w:val="en-US" w:eastAsia="zh-CN"/>
        </w:rPr>
        <w:t>了</w:t>
      </w:r>
      <w:r>
        <w:rPr>
          <w:rFonts w:hint="eastAsia" w:ascii="Times New Roman" w:hAnsi="Times New Roman"/>
          <w:b w:val="0"/>
          <w:sz w:val="24"/>
          <w:lang w:val="en-US" w:eastAsia="zh-CN"/>
        </w:rPr>
        <w:t>部分</w:t>
      </w:r>
      <w:r>
        <w:rPr>
          <w:rFonts w:hint="eastAsia" w:ascii="Times New Roman" w:hAnsi="Times New Roman"/>
          <w:b w:val="0"/>
          <w:sz w:val="24"/>
          <w:lang w:val="en-US" w:eastAsia="zh-CN"/>
        </w:rPr>
        <w:t>诊疗</w:t>
      </w:r>
      <w:r>
        <w:rPr>
          <w:rFonts w:ascii="Times New Roman" w:hAnsi="Times New Roman" w:eastAsia="宋体"/>
          <w:b w:val="0"/>
          <w:sz w:val="24"/>
        </w:rPr>
        <w:t>的数据</w:t>
      </w:r>
      <w:r>
        <w:rPr>
          <w:rFonts w:hint="eastAsia" w:ascii="Times New Roman" w:hAnsi="Times New Roman"/>
          <w:b w:val="0"/>
          <w:sz w:val="24"/>
          <w:lang w:eastAsia="zh-CN"/>
        </w:rPr>
        <w:t>，</w:t>
      </w:r>
      <w:r>
        <w:rPr>
          <w:rFonts w:ascii="Times New Roman" w:hAnsi="Times New Roman" w:eastAsia="宋体"/>
          <w:b w:val="0"/>
          <w:sz w:val="24"/>
        </w:rPr>
        <w:t>通过过程分析法转化为具有管理洞察力的流程诊断报告，通过AHP方法转化为可比较、可排序的优先级决策依据。这种方法不依赖</w:t>
      </w:r>
      <w:r>
        <w:rPr>
          <w:rFonts w:hint="eastAsia" w:ascii="Times New Roman" w:hAnsi="Times New Roman"/>
          <w:b w:val="0"/>
          <w:sz w:val="24"/>
          <w:lang w:val="en-US" w:eastAsia="zh-CN"/>
        </w:rPr>
        <w:t>于</w:t>
      </w:r>
      <w:r>
        <w:rPr>
          <w:rFonts w:ascii="Times New Roman" w:hAnsi="Times New Roman" w:eastAsia="宋体"/>
          <w:b w:val="0"/>
          <w:sz w:val="24"/>
        </w:rPr>
        <w:t>昂贵的外部咨询或复杂的系统改造，具有较低的实施门槛和较高的应用价值。</w:t>
      </w:r>
    </w:p>
    <w:p w14:paraId="6E9C40A4">
      <w:pPr>
        <w:spacing w:before="480" w:after="120" w:line="240" w:lineRule="auto"/>
        <w:jc w:val="center"/>
        <w:outlineLvl w:val="1"/>
      </w:pPr>
      <w:bookmarkStart w:id="9" w:name="_Toc26784"/>
      <w:r>
        <w:rPr>
          <w:rFonts w:ascii="Times New Roman" w:hAnsi="Times New Roman" w:eastAsia="黑体"/>
          <w:b/>
          <w:sz w:val="28"/>
        </w:rPr>
        <w:t>第三节　研究内容与方法</w:t>
      </w:r>
      <w:bookmarkEnd w:id="9"/>
    </w:p>
    <w:p w14:paraId="0FA3A5C2">
      <w:pPr>
        <w:spacing w:before="240" w:after="120" w:line="240" w:lineRule="auto"/>
        <w:ind w:firstLine="520"/>
        <w:outlineLvl w:val="2"/>
      </w:pPr>
      <w:bookmarkStart w:id="10" w:name="_Toc7567"/>
      <w:r>
        <w:rPr>
          <w:rFonts w:ascii="Times New Roman" w:hAnsi="Times New Roman" w:eastAsia="黑体"/>
          <w:b/>
          <w:sz w:val="26"/>
        </w:rPr>
        <w:t>一、研究内容与技术路线</w:t>
      </w:r>
      <w:bookmarkEnd w:id="10"/>
    </w:p>
    <w:p w14:paraId="39C7A82D">
      <w:pPr>
        <w:spacing w:before="0" w:after="0" w:line="400" w:lineRule="exact"/>
        <w:ind w:firstLine="480"/>
        <w:jc w:val="both"/>
      </w:pPr>
      <w:r>
        <w:rPr>
          <w:rFonts w:ascii="Times New Roman" w:hAnsi="Times New Roman" w:eastAsia="宋体"/>
          <w:b w:val="0"/>
          <w:sz w:val="24"/>
        </w:rPr>
        <w:t>本研究以A医药集团互联网医院的服务流程优化为对象，按"现状诊断→流程分析→优先级评价→方案设计→效果验证"这条主线层层推进，研究内容安排如下</w:t>
      </w:r>
      <w:r>
        <w:rPr>
          <w:rFonts w:hint="eastAsia" w:ascii="Times New Roman" w:hAnsi="Times New Roman"/>
          <w:b w:val="0"/>
          <w:sz w:val="24"/>
          <w:lang w:eastAsia="zh-CN"/>
        </w:rPr>
        <w:t>：</w:t>
      </w:r>
    </w:p>
    <w:p w14:paraId="570F958C">
      <w:pPr>
        <w:spacing w:before="0" w:after="0" w:line="400" w:lineRule="exact"/>
        <w:ind w:firstLine="480"/>
        <w:jc w:val="both"/>
      </w:pPr>
      <w:r>
        <w:rPr>
          <w:rFonts w:ascii="Times New Roman" w:hAnsi="Times New Roman" w:eastAsia="宋体"/>
          <w:b w:val="0"/>
          <w:sz w:val="24"/>
        </w:rPr>
        <w:t>第一阶段为现状诊断与理论基础。通过文献</w:t>
      </w:r>
      <w:r>
        <w:rPr>
          <w:rFonts w:hint="eastAsia" w:ascii="Times New Roman" w:hAnsi="Times New Roman"/>
          <w:b w:val="0"/>
          <w:sz w:val="24"/>
          <w:lang w:val="en-US" w:eastAsia="zh-CN"/>
        </w:rPr>
        <w:t>调研</w:t>
      </w:r>
      <w:r>
        <w:rPr>
          <w:rFonts w:hint="eastAsia" w:ascii="Times New Roman" w:hAnsi="Times New Roman"/>
          <w:b w:val="0"/>
          <w:sz w:val="24"/>
          <w:lang w:val="en-US" w:eastAsia="zh-CN"/>
        </w:rPr>
        <w:t>学习，</w:t>
      </w:r>
      <w:r>
        <w:rPr>
          <w:rFonts w:ascii="Times New Roman" w:hAnsi="Times New Roman" w:eastAsia="宋体"/>
          <w:b w:val="0"/>
          <w:sz w:val="24"/>
        </w:rPr>
        <w:t>梳理互联网医院相关研究、服务流程优化理论和数字化转型理论，明确研究缺口和本文定位（第二章）。通过对A医药集团互联网医院的实地调研和数据收集，系统分析其组织架构、平台功能和核心业务流程，识别线上线下流程断点、多院区协同障碍和数据利用不足三大问题（第三章）。</w:t>
      </w:r>
    </w:p>
    <w:p w14:paraId="5996F794">
      <w:pPr>
        <w:spacing w:before="0" w:after="0" w:line="400" w:lineRule="exact"/>
        <w:ind w:firstLine="480"/>
        <w:jc w:val="both"/>
      </w:pPr>
      <w:r>
        <w:rPr>
          <w:rFonts w:ascii="Times New Roman" w:hAnsi="Times New Roman" w:eastAsia="宋体"/>
          <w:b w:val="0"/>
          <w:sz w:val="24"/>
        </w:rPr>
        <w:t>第二阶段为流程诊断与优先级评价。运用过程分析法从一千余万条事件日志中客观发现实际流程模型，识别瓶颈环节和异常变体（第四章第二节）。运用AHP方法构建瓶颈改进优先级评价模型，建立判断矩阵并进行一致性检验，确定各瓶颈的综合排序（第四章第三节）。</w:t>
      </w:r>
    </w:p>
    <w:p w14:paraId="431F7E19">
      <w:pPr>
        <w:spacing w:before="0" w:after="0" w:line="400" w:lineRule="exact"/>
        <w:ind w:firstLine="480"/>
        <w:jc w:val="both"/>
      </w:pPr>
      <w:r>
        <w:rPr>
          <w:rFonts w:ascii="Times New Roman" w:hAnsi="Times New Roman" w:eastAsia="宋体"/>
          <w:b w:val="0"/>
          <w:sz w:val="24"/>
        </w:rPr>
        <w:t>第三阶段为优化方案设计与效果验证。基于诊断结果设计涵盖线上线下一体化流程再造、多院区协同机制和智能质控体系三个维度的综合优化方案，绘制优化前后的服务蓝图（第四章第四节）。选取试点院区实施优化方案，运用准实验方法对比优化前后的关键绩效指标变化，评估优化效果并进行AHP综合评分（第四章第五节）。</w:t>
      </w:r>
    </w:p>
    <w:p w14:paraId="6F2FECAB">
      <w:pPr>
        <w:spacing w:before="0" w:after="0" w:line="400" w:lineRule="exact"/>
        <w:ind w:firstLine="480"/>
        <w:jc w:val="both"/>
      </w:pPr>
      <w:r>
        <w:rPr>
          <w:rFonts w:ascii="Times New Roman" w:hAnsi="Times New Roman" w:eastAsia="宋体"/>
          <w:b w:val="0"/>
          <w:sz w:val="24"/>
        </w:rPr>
        <w:t>第四阶段为结论提炼。总结研究发现，阐述理论贡献和管理启示，指出研究局限和未来展望（第五章）。</w:t>
      </w:r>
    </w:p>
    <w:p w14:paraId="17B8FE96">
      <w:pPr>
        <w:jc w:val="center"/>
        <w:rPr/>
      </w:pPr>
    </w:p>
    <w:p w14:paraId="6042EF03">
      <w:pPr>
        <w:spacing w:before="0" w:after="0" w:line="240" w:lineRule="auto"/>
        <w:ind w:firstLine="0"/>
        <w:jc w:val="center"/>
        <w:rPr>
          <w:rFonts w:hint="eastAsia" w:ascii="Times New Roman" w:hAnsi="Times New Roman" w:eastAsia="宋体"/>
          <w:b w:val="0"/>
          <w:sz w:val="24"/>
          <w:lang w:eastAsia="zh-CN"/>
        </w:rPr>
      </w:pPr>
    </w:p>
    <w:p w14:paraId="2A227CF3">
      <w:pPr>
        <w:spacing w:before="0" w:after="0" w:line="400" w:lineRule="exact"/>
        <w:ind w:firstLine="480"/>
        <w:jc w:val="both"/>
      </w:pPr>
      <w:r>
        <w:rPr>
          <w:rFonts w:ascii="Times New Roman" w:hAnsi="Times New Roman" w:eastAsia="宋体"/>
          <w:b w:val="0"/>
          <w:sz w:val="24"/>
        </w:rPr>
        <w:t>图1.1 研究技术路线图</w:t>
      </w:r>
    </w:p>
    <w:p w14:paraId="62059D39">
      <w:pPr>
        <w:spacing w:before="240" w:after="120" w:line="240" w:lineRule="auto"/>
        <w:ind w:firstLine="520"/>
        <w:outlineLvl w:val="2"/>
      </w:pPr>
      <w:bookmarkStart w:id="11" w:name="_Toc24651"/>
      <w:r>
        <w:rPr>
          <w:rFonts w:ascii="Times New Roman" w:hAnsi="Times New Roman" w:eastAsia="黑体"/>
          <w:b/>
          <w:sz w:val="26"/>
        </w:rPr>
        <w:t>二、研究方法</w:t>
      </w:r>
      <w:bookmarkEnd w:id="11"/>
    </w:p>
    <w:p w14:paraId="639DC702">
      <w:pPr>
        <w:spacing w:before="0" w:after="0" w:line="400" w:lineRule="exact"/>
        <w:ind w:firstLine="480"/>
        <w:jc w:val="both"/>
      </w:pPr>
      <w:r>
        <w:rPr>
          <w:rFonts w:ascii="Times New Roman" w:hAnsi="Times New Roman" w:eastAsia="宋体"/>
          <w:b w:val="0"/>
          <w:sz w:val="24"/>
        </w:rPr>
        <w:t>本研究综合运用了五种研究方法，形成了定性与定量相结合、数据驱动与专家判断相补充的方法体系。</w:t>
      </w:r>
    </w:p>
    <w:p w14:paraId="577B0361">
      <w:pPr>
        <w:spacing w:before="0" w:after="0" w:line="400" w:lineRule="exact"/>
        <w:ind w:firstLine="480"/>
        <w:jc w:val="both"/>
      </w:pPr>
      <w:r>
        <w:rPr>
          <w:rFonts w:ascii="Times New Roman" w:hAnsi="Times New Roman" w:eastAsia="宋体"/>
          <w:b w:val="0"/>
          <w:sz w:val="24"/>
        </w:rPr>
        <w:t>（一）文献研究法。系统梳理</w:t>
      </w:r>
      <w:r>
        <w:rPr>
          <w:rFonts w:hint="eastAsia" w:ascii="Times New Roman" w:hAnsi="Times New Roman"/>
          <w:b w:val="0"/>
          <w:sz w:val="24"/>
          <w:lang w:val="en-US" w:eastAsia="zh-CN"/>
        </w:rPr>
        <w:t>了</w:t>
      </w:r>
      <w:r>
        <w:rPr>
          <w:rFonts w:ascii="Times New Roman" w:hAnsi="Times New Roman" w:eastAsia="宋体"/>
          <w:b w:val="0"/>
          <w:sz w:val="24"/>
        </w:rPr>
        <w:t>互联网医院、服务流程优化、过程分析法、</w:t>
      </w:r>
      <w:r>
        <w:rPr>
          <w:rFonts w:hint="eastAsia" w:ascii="Times New Roman" w:hAnsi="Times New Roman"/>
          <w:b w:val="0"/>
          <w:sz w:val="24"/>
          <w:lang w:val="en-US" w:eastAsia="zh-CN"/>
        </w:rPr>
        <w:t>层次分析法</w:t>
      </w:r>
      <w:r>
        <w:rPr>
          <w:rFonts w:ascii="Times New Roman" w:hAnsi="Times New Roman" w:eastAsia="宋体"/>
          <w:b w:val="0"/>
          <w:sz w:val="24"/>
        </w:rPr>
        <w:t>、服务蓝图和数字化转型等领域的国内外文献，</w:t>
      </w:r>
      <w:r>
        <w:rPr>
          <w:rFonts w:hint="eastAsia" w:ascii="Times New Roman" w:hAnsi="Times New Roman"/>
          <w:b w:val="0"/>
          <w:sz w:val="24"/>
          <w:lang w:val="en-US" w:eastAsia="zh-CN"/>
        </w:rPr>
        <w:t>用来</w:t>
      </w:r>
      <w:r>
        <w:rPr>
          <w:rFonts w:ascii="Times New Roman" w:hAnsi="Times New Roman" w:eastAsia="宋体"/>
          <w:b w:val="0"/>
          <w:sz w:val="24"/>
        </w:rPr>
        <w:t>为本研究提供理论基础和方法论支撑。文献综述重点关注CSSCI和北大核心期刊文献，兼顾SCI/SSCI来源的高质量英文文献，确保理论深度和学术严谨性。</w:t>
      </w:r>
    </w:p>
    <w:p w14:paraId="0B221981">
      <w:pPr>
        <w:spacing w:before="0" w:after="0" w:line="400" w:lineRule="exact"/>
        <w:ind w:firstLine="480"/>
        <w:jc w:val="both"/>
      </w:pPr>
      <w:r>
        <w:rPr>
          <w:rFonts w:ascii="Times New Roman" w:hAnsi="Times New Roman" w:eastAsia="宋体"/>
          <w:b w:val="0"/>
          <w:sz w:val="24"/>
        </w:rPr>
        <w:t>（二）过程分析法（Process Mining）。本研究流程诊断的核心方法。基于A医药集团统一管理平台的一千余万条事件日志数据</w:t>
      </w:r>
      <w:r>
        <w:rPr>
          <w:rFonts w:ascii="Times New Roman" w:hAnsi="Times New Roman" w:eastAsia="宋体"/>
          <w:b w:val="0"/>
          <w:sz w:val="24"/>
        </w:rPr>
        <w:t>，</w:t>
      </w:r>
      <w:r>
        <w:rPr>
          <w:rFonts w:ascii="Times New Roman" w:hAnsi="Times New Roman" w:eastAsia="宋体"/>
          <w:b w:val="0"/>
          <w:sz w:val="24"/>
          <w:highlight w:val="yellow"/>
        </w:rPr>
        <w:t>运用Pm4py开源工具和Inductive Miner算法</w:t>
      </w:r>
      <w:r>
        <w:rPr>
          <w:rFonts w:ascii="Times New Roman" w:hAnsi="Times New Roman" w:eastAsia="宋体"/>
          <w:b w:val="0"/>
          <w:sz w:val="24"/>
        </w:rPr>
        <w:t>生成实际流程模型，</w:t>
      </w:r>
      <w:r>
        <w:rPr>
          <w:rFonts w:ascii="Times New Roman" w:hAnsi="Times New Roman" w:eastAsia="宋体"/>
          <w:b w:val="0"/>
          <w:sz w:val="24"/>
          <w:highlight w:val="yellow"/>
        </w:rPr>
        <w:t>通过变体分析</w:t>
      </w:r>
      <w:r>
        <w:rPr>
          <w:rFonts w:ascii="Times New Roman" w:hAnsi="Times New Roman" w:eastAsia="宋体"/>
          <w:b w:val="0"/>
          <w:sz w:val="24"/>
        </w:rPr>
        <w:t>识别高频路径和异常路径，通过定量指标体系（平均处理时间、平均等待时间、流转次数、返工率）定位瓶颈环节。过程分析法在本研究中的应用实现了流程诊断从主观经验判断到客观数据驱动的升级。</w:t>
      </w:r>
    </w:p>
    <w:p w14:paraId="2688F2CD">
      <w:pPr>
        <w:spacing w:before="0" w:after="0" w:line="400" w:lineRule="exact"/>
        <w:ind w:firstLine="480"/>
        <w:jc w:val="both"/>
      </w:pPr>
      <w:r>
        <w:rPr>
          <w:rFonts w:ascii="Times New Roman" w:hAnsi="Times New Roman" w:eastAsia="宋体"/>
          <w:b w:val="0"/>
          <w:sz w:val="24"/>
        </w:rPr>
        <w:t>（三）层次分析法（AHP）。</w:t>
      </w:r>
      <w:r>
        <w:rPr>
          <w:rFonts w:ascii="Times New Roman" w:hAnsi="Times New Roman" w:eastAsia="宋体"/>
          <w:b w:val="0"/>
          <w:sz w:val="24"/>
          <w:highlight w:val="yellow"/>
        </w:rPr>
        <w:t>本研究优先级评价的决策工具。构建目标层（瓶颈改进优先级排序）、准则层（影响程度、改造成本、实施难度、预期效果、患者影响五个维度）和方案层（已识别的六大流程瓶颈）的三层层次结构。</w:t>
      </w:r>
      <w:r>
        <w:rPr>
          <w:rFonts w:ascii="Times New Roman" w:hAnsi="Times New Roman" w:eastAsia="宋体"/>
          <w:b w:val="0"/>
          <w:sz w:val="24"/>
          <w:highlight w:val="yellow"/>
        </w:rPr>
        <w:t>采用Saaty 1-9标度法构造判断矩阵（对角线元素为1），计算各层次因素的权重向量，通过一致性检验（CR &lt; 0.10）确保判断矩阵的逻辑一致性，最终加权得出各瓶颈的综合优先级排序</w:t>
      </w:r>
      <w:r>
        <w:rPr>
          <w:rFonts w:ascii="Times New Roman" w:hAnsi="Times New Roman" w:eastAsia="宋体"/>
          <w:b w:val="0"/>
          <w:sz w:val="24"/>
        </w:rPr>
        <w:t>。AHP方法在本研究中的应用解决了"在多约束条件下如何科学排序"的决策问题。</w:t>
      </w:r>
    </w:p>
    <w:p w14:paraId="32B23D5D">
      <w:pPr>
        <w:spacing w:before="0" w:after="0" w:line="400" w:lineRule="exact"/>
        <w:ind w:firstLine="480"/>
        <w:jc w:val="both"/>
      </w:pPr>
      <w:r>
        <w:rPr>
          <w:rFonts w:ascii="Times New Roman" w:hAnsi="Times New Roman" w:eastAsia="宋体"/>
          <w:b w:val="0"/>
          <w:sz w:val="24"/>
        </w:rPr>
        <w:t>（四）服务蓝图法。本研究的流程可视化工具。按照患者行为层、后台操作层和系统支持层三层结构，通过标注互动线、可视线和内部互动线，分别绘制现状服务蓝图（标注流程断点位置和类型）和优化后服务蓝图（展示流程改进后的理想状态），两者的对比直观呈现了优化方案的设计效果。</w:t>
      </w:r>
    </w:p>
    <w:p w14:paraId="150A5796">
      <w:pPr>
        <w:spacing w:before="0" w:after="0" w:line="400" w:lineRule="exact"/>
        <w:ind w:firstLine="480"/>
        <w:jc w:val="both"/>
      </w:pPr>
      <w:r>
        <w:rPr>
          <w:rFonts w:ascii="Times New Roman" w:hAnsi="Times New Roman" w:eastAsia="宋体"/>
          <w:b w:val="0"/>
          <w:sz w:val="24"/>
        </w:rPr>
        <w:t>（五）准实验法。本研究的效果验证方法。采用"</w:t>
      </w:r>
      <w:r>
        <w:rPr>
          <w:rFonts w:ascii="Times New Roman" w:hAnsi="Times New Roman" w:eastAsia="宋体"/>
          <w:b w:val="0"/>
          <w:sz w:val="24"/>
          <w:highlight w:val="yellow"/>
        </w:rPr>
        <w:t>前测—后测非等组设计</w:t>
      </w:r>
      <w:r>
        <w:rPr>
          <w:rFonts w:ascii="Times New Roman" w:hAnsi="Times New Roman" w:eastAsia="宋体"/>
          <w:b w:val="0"/>
          <w:sz w:val="24"/>
        </w:rPr>
        <w:t>"，以医院A为实验组（实施优化方案）、医院B为对照组（维持原流程不变），以前测期（优化前三个月）和后测期（优化后三个月）的数据为基础，运用</w:t>
      </w:r>
      <w:r>
        <w:rPr>
          <w:rFonts w:ascii="Times New Roman" w:hAnsi="Times New Roman" w:eastAsia="宋体"/>
          <w:b w:val="0"/>
          <w:sz w:val="24"/>
          <w:highlight w:val="yellow"/>
        </w:rPr>
        <w:t>双重差分法（Difference-in-Differences）</w:t>
      </w:r>
      <w:r>
        <w:rPr>
          <w:rFonts w:ascii="Times New Roman" w:hAnsi="Times New Roman" w:eastAsia="宋体"/>
          <w:b w:val="0"/>
          <w:sz w:val="24"/>
        </w:rPr>
        <w:t>评估优化方案对流程效率、资源利用率和患者体验等KPI的净效果。</w:t>
      </w:r>
    </w:p>
    <w:p w14:paraId="6FF11723">
      <w:pPr>
        <w:jc w:val="center"/>
      </w:pPr>
      <w:r>
        <w:drawing>
          <wp:inline distT="0" distB="0" distL="114300" distR="114300">
            <wp:extent cx="5039995" cy="3096895"/>
            <wp:effectExtent l="0" t="0" r="13335" b="139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a:stretch>
                      <a:fillRect/>
                    </a:stretch>
                  </pic:blipFill>
                  <pic:spPr>
                    <a:xfrm>
                      <a:off x="0" y="0"/>
                      <a:ext cx="5040000" cy="3097500"/>
                    </a:xfrm>
                    <a:prstGeom prst="rect">
                      <a:avLst/>
                    </a:prstGeom>
                  </pic:spPr>
                </pic:pic>
              </a:graphicData>
            </a:graphic>
          </wp:inline>
        </w:drawing>
      </w:r>
    </w:p>
    <w:p w14:paraId="5FB52A6B">
      <w:pPr>
        <w:spacing w:before="0" w:after="0" w:line="400" w:lineRule="exact"/>
        <w:ind w:firstLine="480"/>
        <w:jc w:val="both"/>
      </w:pPr>
      <w:r>
        <w:rPr>
          <w:rFonts w:ascii="Times New Roman" w:hAnsi="Times New Roman" w:eastAsia="宋体"/>
          <w:b w:val="0"/>
          <w:sz w:val="24"/>
        </w:rPr>
        <w:t>图1.2 研究方法体系框架</w:t>
      </w:r>
    </w:p>
    <w:p w14:paraId="08816C4A">
      <w:pPr>
        <w:spacing w:before="240" w:after="120" w:line="240" w:lineRule="auto"/>
        <w:ind w:firstLine="520"/>
        <w:outlineLvl w:val="2"/>
      </w:pPr>
      <w:bookmarkStart w:id="12" w:name="_Toc23725"/>
      <w:r>
        <w:rPr>
          <w:rFonts w:ascii="Times New Roman" w:hAnsi="Times New Roman" w:eastAsia="黑体"/>
          <w:b/>
          <w:sz w:val="26"/>
        </w:rPr>
        <w:t>三、本研究解决的关键问题</w:t>
      </w:r>
      <w:bookmarkEnd w:id="12"/>
    </w:p>
    <w:p w14:paraId="409EB755">
      <w:pPr>
        <w:spacing w:before="0" w:after="0" w:line="400" w:lineRule="exact"/>
        <w:ind w:firstLine="480"/>
        <w:jc w:val="both"/>
      </w:pPr>
      <w:r>
        <w:rPr>
          <w:rFonts w:hint="eastAsia" w:ascii="Times New Roman" w:hAnsi="Times New Roman"/>
          <w:b w:val="0"/>
          <w:sz w:val="24"/>
          <w:lang w:val="en-US" w:eastAsia="zh-CN"/>
        </w:rPr>
        <w:t>对于</w:t>
      </w:r>
      <w:r>
        <w:rPr>
          <w:rFonts w:ascii="Times New Roman" w:hAnsi="Times New Roman" w:eastAsia="宋体"/>
          <w:b w:val="0"/>
          <w:sz w:val="24"/>
        </w:rPr>
        <w:t>第二节提出的三大核心研究问题，本研究</w:t>
      </w:r>
      <w:r>
        <w:rPr>
          <w:rFonts w:ascii="Times New Roman" w:hAnsi="Times New Roman" w:eastAsia="宋体"/>
          <w:b w:val="0"/>
          <w:sz w:val="24"/>
        </w:rPr>
        <w:t>给出了</w:t>
      </w:r>
      <w:r>
        <w:rPr>
          <w:rFonts w:hint="eastAsia" w:ascii="Times New Roman" w:hAnsi="Times New Roman"/>
          <w:b w:val="0"/>
          <w:sz w:val="24"/>
          <w:lang w:val="en-US" w:eastAsia="zh-CN"/>
        </w:rPr>
        <w:t>对应的</w:t>
      </w:r>
      <w:r>
        <w:rPr>
          <w:rFonts w:ascii="Times New Roman" w:hAnsi="Times New Roman" w:eastAsia="宋体"/>
          <w:b w:val="0"/>
          <w:sz w:val="24"/>
        </w:rPr>
        <w:t>解决方案。</w:t>
      </w:r>
    </w:p>
    <w:p w14:paraId="015FA7D1">
      <w:pPr>
        <w:spacing w:before="0" w:after="0" w:line="400" w:lineRule="exact"/>
        <w:ind w:firstLine="480"/>
        <w:jc w:val="both"/>
      </w:pPr>
      <w:r>
        <w:rPr>
          <w:rFonts w:ascii="Times New Roman" w:hAnsi="Times New Roman" w:eastAsia="宋体"/>
          <w:b w:val="0"/>
          <w:sz w:val="24"/>
        </w:rPr>
        <w:t>针对问题一（流程断点），本研究解决了"如何精确识别和系统优化线上线下衔接断点"的问题。通过过程分析法从一千余万条事件日志中客观识别出六个主要流程瓶颈，设计了涵盖问诊检查闭环、处方取药链路、智能</w:t>
      </w:r>
      <w:r>
        <w:rPr>
          <w:rFonts w:hint="eastAsia" w:ascii="Times New Roman" w:hAnsi="Times New Roman"/>
          <w:b w:val="0"/>
          <w:sz w:val="24"/>
          <w:lang w:val="en-US" w:eastAsia="zh-CN"/>
        </w:rPr>
        <w:t>分导诊</w:t>
      </w:r>
      <w:r>
        <w:rPr>
          <w:rFonts w:ascii="Times New Roman" w:hAnsi="Times New Roman" w:eastAsia="宋体"/>
          <w:b w:val="0"/>
          <w:sz w:val="24"/>
        </w:rPr>
        <w:t>和信息同步保障四个子方案的线上线下一体化</w:t>
      </w:r>
      <w:r>
        <w:rPr>
          <w:rFonts w:hint="eastAsia" w:ascii="Times New Roman" w:hAnsi="Times New Roman"/>
          <w:b w:val="0"/>
          <w:sz w:val="24"/>
          <w:lang w:val="en-US" w:eastAsia="zh-CN"/>
        </w:rPr>
        <w:t>的</w:t>
      </w:r>
      <w:r>
        <w:rPr>
          <w:rFonts w:ascii="Times New Roman" w:hAnsi="Times New Roman" w:eastAsia="宋体"/>
          <w:b w:val="0"/>
          <w:sz w:val="24"/>
        </w:rPr>
        <w:t>流程再造方案。准实验结果表明，优化方案使接诊等</w:t>
      </w:r>
      <w:r>
        <w:rPr>
          <w:rFonts w:ascii="Times New Roman" w:hAnsi="Times New Roman" w:eastAsia="宋体"/>
          <w:b w:val="0"/>
          <w:sz w:val="24"/>
          <w:highlight w:val="yellow"/>
        </w:rPr>
        <w:t>待时间减少32.5%，检查预约至完成周期缩短29.1%，返工率下降2.3个百分点</w:t>
      </w:r>
      <w:r>
        <w:rPr>
          <w:rFonts w:ascii="Times New Roman" w:hAnsi="Times New Roman" w:eastAsia="宋体"/>
          <w:b w:val="0"/>
          <w:sz w:val="24"/>
        </w:rPr>
        <w:t>。</w:t>
      </w:r>
    </w:p>
    <w:p w14:paraId="640650E7">
      <w:pPr>
        <w:spacing w:before="0" w:after="0" w:line="400" w:lineRule="exact"/>
        <w:ind w:firstLine="480"/>
        <w:jc w:val="both"/>
      </w:pPr>
      <w:r>
        <w:rPr>
          <w:rFonts w:ascii="Times New Roman" w:hAnsi="Times New Roman" w:eastAsia="宋体"/>
          <w:b w:val="0"/>
          <w:sz w:val="24"/>
        </w:rPr>
        <w:t>针对问题二（多院区协同障碍），本研究解决了"如何设计跨院区协同机制</w:t>
      </w:r>
      <w:r>
        <w:rPr>
          <w:rFonts w:hint="eastAsia" w:ascii="Times New Roman" w:hAnsi="Times New Roman"/>
          <w:b w:val="0"/>
          <w:sz w:val="24"/>
          <w:lang w:val="en-US" w:eastAsia="zh-CN"/>
        </w:rPr>
        <w:t>用于</w:t>
      </w:r>
      <w:r>
        <w:rPr>
          <w:rFonts w:ascii="Times New Roman" w:hAnsi="Times New Roman" w:eastAsia="宋体"/>
          <w:b w:val="0"/>
          <w:sz w:val="24"/>
        </w:rPr>
        <w:t>消除信息孤岛"的问题。设计了包含</w:t>
      </w:r>
      <w:r>
        <w:rPr>
          <w:rFonts w:ascii="Times New Roman" w:hAnsi="Times New Roman" w:eastAsia="宋体"/>
          <w:b w:val="0"/>
          <w:sz w:val="24"/>
          <w:highlight w:val="yellow"/>
        </w:rPr>
        <w:t>统一患者身份标识、跨院区资源调度转诊和集中化质控与分布式执行</w:t>
      </w:r>
      <w:r>
        <w:rPr>
          <w:rFonts w:ascii="Times New Roman" w:hAnsi="Times New Roman" w:eastAsia="宋体"/>
          <w:b w:val="0"/>
          <w:sz w:val="24"/>
        </w:rPr>
        <w:t>三个层次的协同机制方案。方案实施后，跨院区检查预约占比从</w:t>
      </w:r>
      <w:r>
        <w:rPr>
          <w:rFonts w:ascii="Times New Roman" w:hAnsi="Times New Roman" w:eastAsia="宋体"/>
          <w:b w:val="0"/>
          <w:sz w:val="24"/>
          <w:highlight w:val="yellow"/>
        </w:rPr>
        <w:t>0%提升至8.3%，检查设备日均利用率从62%提升至71%</w:t>
      </w:r>
      <w:r>
        <w:rPr>
          <w:rFonts w:ascii="Times New Roman" w:hAnsi="Times New Roman" w:eastAsia="宋体"/>
          <w:b w:val="0"/>
          <w:sz w:val="24"/>
        </w:rPr>
        <w:t>，初步验证了协同机制的可行性和有效性。</w:t>
      </w:r>
    </w:p>
    <w:p w14:paraId="7679D67A">
      <w:pPr>
        <w:spacing w:before="0" w:after="0" w:line="400" w:lineRule="exact"/>
        <w:ind w:firstLine="480"/>
        <w:jc w:val="both"/>
      </w:pPr>
      <w:r>
        <w:rPr>
          <w:rFonts w:ascii="Times New Roman" w:hAnsi="Times New Roman" w:eastAsia="宋体"/>
          <w:b w:val="0"/>
          <w:sz w:val="24"/>
        </w:rPr>
        <w:t>针对问题三（数据利用不足），本研究解决了"如何将平台运营数据转化为流程改进决策依据"的问题。构建了</w:t>
      </w:r>
      <w:r>
        <w:rPr>
          <w:rFonts w:ascii="Times New Roman" w:hAnsi="Times New Roman" w:eastAsia="宋体"/>
          <w:b w:val="0"/>
          <w:sz w:val="24"/>
          <w:highlight w:val="yellow"/>
        </w:rPr>
        <w:t>"Process Mining（客观诊断）+ AHP（科学排序）+ 服务蓝图（可视化建模）+ 准实验（效果验证）</w:t>
      </w:r>
      <w:r>
        <w:rPr>
          <w:rFonts w:ascii="Times New Roman" w:hAnsi="Times New Roman" w:eastAsia="宋体"/>
          <w:b w:val="0"/>
          <w:sz w:val="24"/>
        </w:rPr>
        <w:t>"的方法论框架，并基于此设计了数据驱动的实时流程监控看板和异常预警机制，建立了"数据诊断→方案调整→效果验证→再优化"的PDCA持续改进循环。</w:t>
      </w:r>
    </w:p>
    <w:p w14:paraId="6B3DED89">
      <w:pPr>
        <w:spacing w:before="480" w:after="120" w:line="240" w:lineRule="auto"/>
        <w:jc w:val="center"/>
        <w:outlineLvl w:val="1"/>
      </w:pPr>
      <w:bookmarkStart w:id="13" w:name="_Toc7732"/>
      <w:r>
        <w:rPr>
          <w:rFonts w:ascii="Times New Roman" w:hAnsi="Times New Roman" w:eastAsia="黑体"/>
          <w:b/>
          <w:sz w:val="28"/>
        </w:rPr>
        <w:t>第四节　论文结构安排</w:t>
      </w:r>
      <w:bookmarkEnd w:id="13"/>
    </w:p>
    <w:p w14:paraId="6BD1891F">
      <w:pPr>
        <w:spacing w:before="0" w:after="0" w:line="400" w:lineRule="exact"/>
        <w:ind w:firstLine="480"/>
        <w:jc w:val="both"/>
      </w:pPr>
      <w:r>
        <w:rPr>
          <w:rFonts w:hint="eastAsia" w:ascii="Times New Roman" w:hAnsi="Times New Roman"/>
          <w:b w:val="0"/>
          <w:sz w:val="24"/>
          <w:lang w:val="en-US" w:eastAsia="zh-CN"/>
        </w:rPr>
        <w:t>本论文</w:t>
      </w:r>
      <w:r>
        <w:rPr>
          <w:rFonts w:ascii="Times New Roman" w:hAnsi="Times New Roman" w:eastAsia="宋体"/>
          <w:b w:val="0"/>
          <w:sz w:val="24"/>
        </w:rPr>
        <w:t>全文</w:t>
      </w:r>
      <w:r>
        <w:rPr>
          <w:rFonts w:hint="eastAsia" w:ascii="Times New Roman" w:hAnsi="Times New Roman"/>
          <w:b w:val="0"/>
          <w:sz w:val="24"/>
          <w:lang w:val="en-US" w:eastAsia="zh-CN"/>
        </w:rPr>
        <w:t>共</w:t>
      </w:r>
      <w:r>
        <w:rPr>
          <w:rFonts w:ascii="Times New Roman" w:hAnsi="Times New Roman" w:eastAsia="宋体"/>
          <w:b w:val="0"/>
          <w:sz w:val="24"/>
        </w:rPr>
        <w:t>五章，</w:t>
      </w:r>
      <w:r>
        <w:rPr>
          <w:rFonts w:hint="eastAsia" w:ascii="Times New Roman" w:hAnsi="Times New Roman"/>
          <w:b w:val="0"/>
          <w:sz w:val="24"/>
          <w:lang w:val="en-US" w:eastAsia="zh-CN"/>
        </w:rPr>
        <w:t>各章</w:t>
      </w:r>
      <w:r>
        <w:rPr>
          <w:rFonts w:ascii="Times New Roman" w:hAnsi="Times New Roman" w:eastAsia="宋体"/>
          <w:b w:val="0"/>
          <w:sz w:val="24"/>
        </w:rPr>
        <w:t>内容安排如下。</w:t>
      </w:r>
    </w:p>
    <w:p w14:paraId="29833D00">
      <w:pPr>
        <w:spacing w:before="0" w:after="0" w:line="400" w:lineRule="exact"/>
        <w:ind w:firstLine="480"/>
        <w:jc w:val="both"/>
      </w:pPr>
      <w:r>
        <w:rPr>
          <w:rFonts w:ascii="Times New Roman" w:hAnsi="Times New Roman" w:eastAsia="宋体"/>
          <w:b w:val="0"/>
          <w:sz w:val="24"/>
        </w:rPr>
        <w:t>第一章为绪论。阐述数字化转型背景下互联网医院的发展趋势与面临的挑战，介绍A医药集团互联网医院的建设背景与现实问题，明确本研究的核心研究问题、理论意义与实践意义，概述研究内容、技术路线、研究方法以及全文的结构安排。</w:t>
      </w:r>
    </w:p>
    <w:p w14:paraId="124E5802">
      <w:pPr>
        <w:spacing w:before="0" w:after="0" w:line="400" w:lineRule="exact"/>
        <w:ind w:firstLine="480"/>
        <w:jc w:val="both"/>
      </w:pPr>
      <w:r>
        <w:rPr>
          <w:rFonts w:ascii="Times New Roman" w:hAnsi="Times New Roman" w:eastAsia="宋体"/>
          <w:b w:val="0"/>
          <w:sz w:val="24"/>
        </w:rPr>
        <w:t>第二章为文献综述与理论基础。系统回顾互联网医院相关研究（概念演进、运营模式、服务质量与效率），深入阐述服务流程优化理论（服务蓝图、过程分析法、AHP/ANP、精益服务与六西格玛、业务流程再造）和数字化转型理论（概念维度、医疗行业转型路径），对现有文献进行综合评述，明确本研究的理论定位与三个研究缺口。</w:t>
      </w:r>
    </w:p>
    <w:p w14:paraId="27E40258">
      <w:pPr>
        <w:spacing w:before="0" w:after="0" w:line="400" w:lineRule="exact"/>
        <w:ind w:firstLine="480"/>
        <w:jc w:val="both"/>
      </w:pPr>
      <w:r>
        <w:rPr>
          <w:rFonts w:ascii="Times New Roman" w:hAnsi="Times New Roman" w:eastAsia="宋体"/>
          <w:b w:val="0"/>
          <w:sz w:val="24"/>
        </w:rPr>
        <w:t>第三章为A医药集团互联网医院运营现状与问题分析。介绍A医药集团的发展历程、业务版图和互联网医院平台建设三阶段历程，详细梳理平台功能模块、技术架构和数据基础，系统分析核心业务流程（问诊、处方、检查、取药），并基于三类处方流转场景（到店、到院、到线）进行差异化分析，深入识别流程断点、多院区协同障碍和数据利用不足三大问题。</w:t>
      </w:r>
    </w:p>
    <w:p w14:paraId="2FA205FF">
      <w:pPr>
        <w:spacing w:before="0" w:after="0" w:line="400" w:lineRule="exact"/>
        <w:ind w:firstLine="480"/>
        <w:jc w:val="both"/>
      </w:pPr>
      <w:r>
        <w:rPr>
          <w:rFonts w:ascii="Times New Roman" w:hAnsi="Times New Roman" w:eastAsia="宋体"/>
          <w:b w:val="0"/>
          <w:sz w:val="24"/>
        </w:rPr>
        <w:t>第四章为服务流程优化研究。本章是论文的核心章节，包含五个子部分。研究设计部分详细阐述过程分析法（事件日志提取、流程模型生成、变体分析与瓶颈识别）、AHP方法（层次结构、判断矩阵、一致性检验、权重排序）、服务蓝图法和准实验法的应用方案。数据分析与流程诊断部分基于一千余万条事件日志进行流程发现和瓶颈定量分析。AHP瓶颈优先级评价部分构建判断矩阵并确定六瓶颈的综合排序。服务蓝图与优化方案部分绘制现状和优化后服务蓝图，并提出包含四个子方案的线上线下一体化流程再造方案、多院区协同机制和数据驱动的智能质控体系。试点验证与效果评估部分通过</w:t>
      </w:r>
      <w:r>
        <w:rPr>
          <w:rFonts w:ascii="Times New Roman" w:hAnsi="Times New Roman" w:eastAsia="宋体"/>
          <w:b w:val="0"/>
          <w:sz w:val="24"/>
          <w:highlight w:val="yellow"/>
        </w:rPr>
        <w:t>准实验</w:t>
      </w:r>
      <w:r>
        <w:rPr>
          <w:rFonts w:ascii="Times New Roman" w:hAnsi="Times New Roman" w:eastAsia="宋体"/>
          <w:b w:val="0"/>
          <w:sz w:val="24"/>
          <w:highlight w:val="yellow"/>
        </w:rPr>
        <w:t>DID方</w:t>
      </w:r>
      <w:r>
        <w:rPr>
          <w:rFonts w:ascii="Times New Roman" w:hAnsi="Times New Roman" w:eastAsia="宋体"/>
          <w:b w:val="0"/>
          <w:sz w:val="24"/>
        </w:rPr>
        <w:t>法和</w:t>
      </w:r>
      <w:r>
        <w:rPr>
          <w:rFonts w:ascii="Times New Roman" w:hAnsi="Times New Roman" w:eastAsia="宋体"/>
          <w:b w:val="0"/>
          <w:sz w:val="24"/>
          <w:highlight w:val="yellow"/>
        </w:rPr>
        <w:t>AHP综合评分</w:t>
      </w:r>
      <w:r>
        <w:rPr>
          <w:rFonts w:ascii="Times New Roman" w:hAnsi="Times New Roman" w:eastAsia="宋体"/>
          <w:b w:val="0"/>
          <w:sz w:val="24"/>
        </w:rPr>
        <w:t>对优化效果进行定量评估。</w:t>
      </w:r>
    </w:p>
    <w:p w14:paraId="1657D674">
      <w:pPr>
        <w:spacing w:before="0" w:after="0" w:line="400" w:lineRule="exact"/>
        <w:ind w:firstLine="480"/>
        <w:jc w:val="both"/>
      </w:pPr>
      <w:r>
        <w:rPr>
          <w:rFonts w:ascii="Times New Roman" w:hAnsi="Times New Roman" w:eastAsia="宋体"/>
          <w:b w:val="0"/>
          <w:sz w:val="24"/>
        </w:rPr>
        <w:t>第五章为结论与展望。总结本研究的主要发现和结论，归纳本研究的三个核心学术贡献，阐述对互联网医院管理实践的管理启示，指出研究在数据完整性、单案例推广性和准实验因果推断方面的局限性，并对未来AI驱动的流程自动化、多案例比较研究和长期效果追踪等方向提出展望。</w:t>
      </w:r>
    </w:p>
    <w:p w14:paraId="28594232">
      <w:pPr>
        <w:spacing w:before="480" w:after="360" w:line="240" w:lineRule="auto"/>
        <w:jc w:val="center"/>
        <w:outlineLvl w:val="0"/>
      </w:pPr>
      <w:bookmarkStart w:id="14" w:name="_Toc26697"/>
      <w:r>
        <w:rPr>
          <w:rFonts w:ascii="Times New Roman" w:hAnsi="Times New Roman" w:eastAsia="黑体"/>
          <w:b/>
          <w:sz w:val="32"/>
        </w:rPr>
        <w:t>第二章　文献综述与理论基础</w:t>
      </w:r>
      <w:bookmarkEnd w:id="14"/>
    </w:p>
    <w:p w14:paraId="674614B6">
      <w:pPr>
        <w:spacing w:before="0" w:after="0" w:line="400" w:lineRule="exact"/>
        <w:ind w:firstLine="480"/>
        <w:jc w:val="both"/>
      </w:pPr>
      <w:r>
        <w:rPr>
          <w:rFonts w:ascii="Times New Roman" w:hAnsi="Times New Roman" w:eastAsia="宋体"/>
          <w:b w:val="0"/>
          <w:sz w:val="24"/>
        </w:rPr>
        <w:t>本章的文献梳理分三块展开：互联网医院本身的研究、服务流程优化的方法理论、数字化转型理论。</w:t>
      </w:r>
      <w:r>
        <w:rPr>
          <w:rFonts w:hint="eastAsia" w:ascii="Times New Roman" w:hAnsi="Times New Roman"/>
          <w:b w:val="0"/>
          <w:sz w:val="24"/>
          <w:lang w:val="en-US" w:eastAsia="zh-CN"/>
        </w:rPr>
        <w:t>在此基础</w:t>
      </w:r>
      <w:r>
        <w:rPr>
          <w:rFonts w:hint="eastAsia" w:ascii="Times New Roman" w:hAnsi="Times New Roman"/>
          <w:b w:val="0"/>
          <w:sz w:val="24"/>
          <w:lang w:val="en-US" w:eastAsia="zh-CN"/>
        </w:rPr>
        <w:t>之上</w:t>
      </w:r>
      <w:r>
        <w:rPr>
          <w:rFonts w:hint="eastAsia" w:ascii="Times New Roman" w:hAnsi="Times New Roman"/>
          <w:b w:val="0"/>
          <w:sz w:val="24"/>
          <w:lang w:val="en-US" w:eastAsia="zh-CN"/>
        </w:rPr>
        <w:t>，</w:t>
      </w:r>
      <w:r>
        <w:rPr>
          <w:rFonts w:ascii="Times New Roman" w:hAnsi="Times New Roman" w:eastAsia="宋体"/>
          <w:b w:val="0"/>
          <w:sz w:val="24"/>
        </w:rPr>
        <w:t>梳理的落点在于评述</w:t>
      </w:r>
      <w:r>
        <w:rPr>
          <w:rFonts w:ascii="Times New Roman" w:hAnsi="Times New Roman" w:eastAsia="宋体"/>
          <w:b w:val="0"/>
          <w:sz w:val="24"/>
        </w:rPr>
        <w:t>现有研究做到了哪一步，还缺什么，</w:t>
      </w:r>
      <w:r>
        <w:rPr>
          <w:rFonts w:hint="eastAsia" w:ascii="Times New Roman" w:hAnsi="Times New Roman"/>
          <w:b w:val="0"/>
          <w:sz w:val="24"/>
          <w:lang w:val="en-US" w:eastAsia="zh-CN"/>
        </w:rPr>
        <w:t>以及</w:t>
      </w:r>
      <w:r>
        <w:rPr>
          <w:rFonts w:hint="eastAsia" w:ascii="Times New Roman" w:hAnsi="Times New Roman"/>
          <w:b w:val="0"/>
          <w:sz w:val="24"/>
          <w:lang w:val="en-US" w:eastAsia="zh-CN"/>
        </w:rPr>
        <w:t>明确</w:t>
      </w:r>
      <w:r>
        <w:rPr>
          <w:rFonts w:ascii="Times New Roman" w:hAnsi="Times New Roman" w:eastAsia="宋体"/>
          <w:b w:val="0"/>
          <w:sz w:val="24"/>
        </w:rPr>
        <w:t>本研究</w:t>
      </w:r>
      <w:r>
        <w:rPr>
          <w:rFonts w:hint="eastAsia" w:ascii="Times New Roman" w:hAnsi="Times New Roman"/>
          <w:b w:val="0"/>
          <w:sz w:val="24"/>
          <w:lang w:val="en-US" w:eastAsia="zh-CN"/>
        </w:rPr>
        <w:t>的</w:t>
      </w:r>
      <w:r>
        <w:rPr>
          <w:rFonts w:ascii="Times New Roman" w:hAnsi="Times New Roman" w:eastAsia="宋体"/>
          <w:b w:val="0"/>
          <w:sz w:val="24"/>
        </w:rPr>
        <w:t>理论定位和研究缺口</w:t>
      </w:r>
      <w:r>
        <w:rPr>
          <w:rFonts w:ascii="Times New Roman" w:hAnsi="Times New Roman" w:eastAsia="宋体"/>
          <w:b w:val="0"/>
          <w:sz w:val="24"/>
        </w:rPr>
        <w:t>。</w:t>
      </w:r>
    </w:p>
    <w:p w14:paraId="221CF7E2">
      <w:pPr>
        <w:spacing w:before="480" w:after="120" w:line="240" w:lineRule="auto"/>
        <w:jc w:val="center"/>
        <w:outlineLvl w:val="1"/>
      </w:pPr>
      <w:bookmarkStart w:id="15" w:name="_Toc1534"/>
      <w:r>
        <w:rPr>
          <w:rFonts w:ascii="Times New Roman" w:hAnsi="Times New Roman" w:eastAsia="黑体"/>
          <w:b/>
          <w:sz w:val="28"/>
        </w:rPr>
        <w:t>第一节　互联网医院相关研究</w:t>
      </w:r>
      <w:bookmarkEnd w:id="15"/>
    </w:p>
    <w:p w14:paraId="1D7F2CAF">
      <w:pPr>
        <w:spacing w:before="240" w:after="120" w:line="240" w:lineRule="auto"/>
        <w:ind w:firstLine="520"/>
        <w:outlineLvl w:val="2"/>
      </w:pPr>
      <w:bookmarkStart w:id="16" w:name="_Toc305"/>
      <w:r>
        <w:rPr>
          <w:rFonts w:ascii="Times New Roman" w:hAnsi="Times New Roman" w:eastAsia="黑体"/>
          <w:b/>
          <w:sz w:val="26"/>
        </w:rPr>
        <w:t>一、互联网医院的概念与演进</w:t>
      </w:r>
      <w:bookmarkEnd w:id="16"/>
    </w:p>
    <w:p w14:paraId="22ECAB37">
      <w:pPr>
        <w:spacing w:before="0" w:after="0" w:line="400" w:lineRule="exact"/>
        <w:ind w:firstLine="480"/>
        <w:jc w:val="both"/>
      </w:pPr>
      <w:r>
        <w:rPr>
          <w:rFonts w:ascii="Times New Roman" w:hAnsi="Times New Roman" w:eastAsia="宋体"/>
          <w:b w:val="0"/>
          <w:sz w:val="24"/>
        </w:rPr>
        <w:t>互联网医院是指以实体医疗机构为依托，运用互联网技术为患者提供在线诊疗、电子处方、药品配送、检查预约和慢病管理等医疗服务的线上平台（张宇希，胡建平，2024）。与传统医院的线下服务模式相比，互联网医院打破了时间和空间的限制，实现了医疗服务从"面对面"到"屏对屏"的模式转变。</w:t>
      </w:r>
    </w:p>
    <w:p w14:paraId="7B48D17A">
      <w:pPr>
        <w:spacing w:before="0" w:after="0" w:line="400" w:lineRule="exact"/>
        <w:ind w:firstLine="480"/>
        <w:jc w:val="both"/>
      </w:pPr>
      <w:r>
        <w:rPr>
          <w:rFonts w:hint="eastAsia" w:ascii="Times New Roman" w:hAnsi="Times New Roman"/>
          <w:b w:val="0"/>
          <w:sz w:val="24"/>
          <w:lang w:val="en-US" w:eastAsia="zh-CN"/>
        </w:rPr>
        <w:t>从</w:t>
      </w:r>
      <w:r>
        <w:rPr>
          <w:rFonts w:hint="eastAsia" w:ascii="Times New Roman" w:hAnsi="Times New Roman"/>
          <w:b w:val="0"/>
          <w:sz w:val="24"/>
          <w:lang w:val="en-US" w:eastAsia="zh-CN"/>
        </w:rPr>
        <w:t>近几年</w:t>
      </w:r>
      <w:r>
        <w:rPr>
          <w:rFonts w:hint="eastAsia" w:ascii="Times New Roman" w:hAnsi="Times New Roman"/>
          <w:b w:val="0"/>
          <w:sz w:val="24"/>
          <w:lang w:val="en-US" w:eastAsia="zh-CN"/>
        </w:rPr>
        <w:t>我国</w:t>
      </w:r>
      <w:r>
        <w:rPr>
          <w:rFonts w:hint="eastAsia" w:ascii="Times New Roman" w:hAnsi="Times New Roman"/>
          <w:b w:val="0"/>
          <w:sz w:val="24"/>
          <w:lang w:val="en-US" w:eastAsia="zh-CN"/>
        </w:rPr>
        <w:t>互联网</w:t>
      </w:r>
      <w:r>
        <w:rPr>
          <w:rFonts w:hint="eastAsia" w:ascii="Times New Roman" w:hAnsi="Times New Roman"/>
          <w:b w:val="0"/>
          <w:sz w:val="24"/>
          <w:lang w:val="en-US" w:eastAsia="zh-CN"/>
        </w:rPr>
        <w:t>医院的</w:t>
      </w:r>
      <w:r>
        <w:rPr>
          <w:rFonts w:ascii="Times New Roman" w:hAnsi="Times New Roman" w:eastAsia="宋体"/>
          <w:b w:val="0"/>
          <w:sz w:val="24"/>
        </w:rPr>
        <w:t>发展脉络</w:t>
      </w:r>
      <w:r>
        <w:rPr>
          <w:rFonts w:hint="eastAsia" w:ascii="Times New Roman" w:hAnsi="Times New Roman"/>
          <w:b w:val="0"/>
          <w:sz w:val="24"/>
          <w:lang w:val="en-US" w:eastAsia="zh-CN"/>
        </w:rPr>
        <w:t>来看</w:t>
      </w:r>
      <w:r>
        <w:rPr>
          <w:rFonts w:ascii="Times New Roman" w:hAnsi="Times New Roman" w:eastAsia="宋体"/>
          <w:b w:val="0"/>
          <w:sz w:val="24"/>
        </w:rPr>
        <w:t>，</w:t>
      </w:r>
      <w:r>
        <w:rPr>
          <w:rFonts w:ascii="Times New Roman" w:hAnsi="Times New Roman" w:eastAsia="宋体"/>
          <w:b w:val="0"/>
          <w:sz w:val="24"/>
        </w:rPr>
        <w:t>大致</w:t>
      </w:r>
      <w:r>
        <w:rPr>
          <w:rFonts w:hint="eastAsia" w:ascii="Times New Roman" w:hAnsi="Times New Roman"/>
          <w:b w:val="0"/>
          <w:sz w:val="24"/>
          <w:lang w:val="en-US" w:eastAsia="zh-CN"/>
        </w:rPr>
        <w:t>经过</w:t>
      </w:r>
      <w:r>
        <w:rPr>
          <w:rFonts w:ascii="Times New Roman" w:hAnsi="Times New Roman" w:eastAsia="宋体"/>
          <w:b w:val="0"/>
          <w:sz w:val="24"/>
        </w:rPr>
        <w:t>了三个阶段。2015年至2018年为政策探索期，国家层面开始鼓励医疗机构运用"互联网+"优化医疗服务，但互联网医院的合法性地位尚未明确。2018年国务院发布《关于促进"互联网+医疗健康"发展的意见》，正式为互联网医院提供了政策依据和法律框架。2019年至2021年为快速扩容期，新冠疫情极大地加速了互联网医疗的推广和普及，在线问诊和远程诊疗从"可选项"变为"刚需"。公雪和郭蕊（2025）对我国公立医院互联网诊疗的现状进行了系统分析，指出大型三级公立医院的互联网医院上线率已较高，但运营效率参差不齐，"建而不用"的问题较为普遍。2022年至今为深化融合期，互联网医院从初期的"功能堆叠"阶段转向"流程优化"和"服务质量提升"</w:t>
      </w:r>
      <w:r>
        <w:rPr>
          <w:rFonts w:hint="eastAsia" w:ascii="Times New Roman" w:hAnsi="Times New Roman"/>
          <w:b w:val="0"/>
          <w:sz w:val="24"/>
          <w:lang w:val="en-US" w:eastAsia="zh-CN"/>
        </w:rPr>
        <w:t>的</w:t>
      </w:r>
      <w:r>
        <w:rPr>
          <w:rFonts w:ascii="Times New Roman" w:hAnsi="Times New Roman" w:eastAsia="宋体"/>
          <w:b w:val="0"/>
          <w:sz w:val="24"/>
        </w:rPr>
        <w:t>阶段，关注的焦点从"有没有"转向"好不好"。</w:t>
      </w:r>
    </w:p>
    <w:p w14:paraId="482AC880">
      <w:pPr>
        <w:jc w:val="center"/>
      </w:pPr>
      <w:r>
        <w:drawing>
          <wp:inline distT="0" distB="0" distL="114300" distR="114300">
            <wp:extent cx="5039995" cy="2519680"/>
            <wp:effectExtent l="0" t="0" r="1333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2"/>
                    <a:stretch>
                      <a:fillRect/>
                    </a:stretch>
                  </pic:blipFill>
                  <pic:spPr>
                    <a:xfrm>
                      <a:off x="0" y="0"/>
                      <a:ext cx="5040000" cy="2520000"/>
                    </a:xfrm>
                    <a:prstGeom prst="rect">
                      <a:avLst/>
                    </a:prstGeom>
                  </pic:spPr>
                </pic:pic>
              </a:graphicData>
            </a:graphic>
          </wp:inline>
        </w:drawing>
      </w:r>
    </w:p>
    <w:p w14:paraId="03706787">
      <w:pPr>
        <w:spacing w:before="0" w:after="0" w:line="400" w:lineRule="exact"/>
        <w:ind w:firstLine="480"/>
        <w:jc w:val="both"/>
      </w:pPr>
      <w:r>
        <w:rPr>
          <w:rFonts w:ascii="Times New Roman" w:hAnsi="Times New Roman" w:eastAsia="宋体"/>
          <w:b w:val="0"/>
          <w:sz w:val="24"/>
        </w:rPr>
        <w:t>图2.1 互联网医院三阶段演进</w:t>
      </w:r>
    </w:p>
    <w:p w14:paraId="45E2AA8E">
      <w:pPr>
        <w:spacing w:before="0" w:after="0" w:line="400" w:lineRule="exact"/>
        <w:ind w:firstLine="480"/>
        <w:jc w:val="both"/>
      </w:pPr>
      <w:r>
        <w:rPr>
          <w:rFonts w:ascii="Times New Roman" w:hAnsi="Times New Roman" w:eastAsia="宋体"/>
          <w:b w:val="0"/>
          <w:sz w:val="24"/>
        </w:rPr>
        <w:t>运营模式上，</w:t>
      </w:r>
      <w:r>
        <w:rPr>
          <w:rFonts w:ascii="Times New Roman" w:hAnsi="Times New Roman" w:eastAsia="宋体"/>
          <w:b w:val="0"/>
          <w:sz w:val="24"/>
        </w:rPr>
        <w:t>我国互联网医院</w:t>
      </w:r>
      <w:r>
        <w:rPr>
          <w:rFonts w:hint="eastAsia" w:ascii="Times New Roman" w:hAnsi="Times New Roman"/>
          <w:b w:val="0"/>
          <w:sz w:val="24"/>
          <w:lang w:val="en-US" w:eastAsia="zh-CN"/>
        </w:rPr>
        <w:t>主要</w:t>
      </w:r>
      <w:r>
        <w:rPr>
          <w:rFonts w:ascii="Times New Roman" w:hAnsi="Times New Roman" w:eastAsia="宋体"/>
          <w:b w:val="0"/>
          <w:sz w:val="24"/>
        </w:rPr>
        <w:t>分成三种类型：第一类是大型公立医院自建的互联网医院，依托实体医院的医疗资源和品牌影响力，为复诊患者提供便捷的线上服务通道；第二类是平台型企业主导的互联网医疗平台（如京东健康、阿里健康），通过整合社会化的医疗资源提供线上问诊和医药电商服务；第三类是医药集团主导的线上线下融合型互联网医院，以医药供应链优势为依托，整合旗下多家实体</w:t>
      </w:r>
      <w:r>
        <w:rPr>
          <w:rFonts w:hint="eastAsia" w:ascii="Times New Roman" w:hAnsi="Times New Roman"/>
          <w:b w:val="0"/>
          <w:sz w:val="24"/>
          <w:lang w:val="en-US" w:eastAsia="zh-CN"/>
        </w:rPr>
        <w:t>医疗机构</w:t>
      </w:r>
      <w:r>
        <w:rPr>
          <w:rFonts w:hint="eastAsia" w:ascii="Times New Roman" w:hAnsi="Times New Roman"/>
          <w:b w:val="0"/>
          <w:sz w:val="24"/>
          <w:lang w:val="en-US" w:eastAsia="zh-CN"/>
        </w:rPr>
        <w:t>资源</w:t>
      </w:r>
      <w:r>
        <w:rPr>
          <w:rFonts w:ascii="Times New Roman" w:hAnsi="Times New Roman" w:eastAsia="宋体"/>
          <w:b w:val="0"/>
          <w:sz w:val="24"/>
        </w:rPr>
        <w:t>，</w:t>
      </w:r>
      <w:r>
        <w:rPr>
          <w:rFonts w:hint="eastAsia" w:ascii="Times New Roman" w:hAnsi="Times New Roman"/>
          <w:b w:val="0"/>
          <w:sz w:val="24"/>
          <w:lang w:val="en-US" w:eastAsia="zh-CN"/>
        </w:rPr>
        <w:t>为患者</w:t>
      </w:r>
      <w:r>
        <w:rPr>
          <w:rFonts w:hint="eastAsia" w:ascii="Times New Roman" w:hAnsi="Times New Roman"/>
          <w:b w:val="0"/>
          <w:sz w:val="24"/>
          <w:lang w:val="en-US" w:eastAsia="zh-CN"/>
        </w:rPr>
        <w:t>提供</w:t>
      </w:r>
      <w:r>
        <w:rPr>
          <w:rFonts w:hint="eastAsia" w:ascii="Times New Roman" w:hAnsi="Times New Roman"/>
          <w:b w:val="0"/>
          <w:sz w:val="24"/>
          <w:lang w:val="en-US" w:eastAsia="zh-CN"/>
        </w:rPr>
        <w:t>便捷</w:t>
      </w:r>
      <w:r>
        <w:rPr>
          <w:rFonts w:hint="eastAsia" w:ascii="Times New Roman" w:hAnsi="Times New Roman"/>
          <w:b w:val="0"/>
          <w:sz w:val="24"/>
          <w:lang w:val="en-US" w:eastAsia="zh-CN"/>
        </w:rPr>
        <w:t>的</w:t>
      </w:r>
      <w:r>
        <w:rPr>
          <w:rFonts w:hint="eastAsia" w:ascii="Times New Roman" w:hAnsi="Times New Roman"/>
          <w:b w:val="0"/>
          <w:sz w:val="24"/>
          <w:lang w:val="en-US" w:eastAsia="zh-CN"/>
        </w:rPr>
        <w:t>线上</w:t>
      </w:r>
      <w:r>
        <w:rPr>
          <w:rFonts w:hint="eastAsia" w:ascii="Times New Roman" w:hAnsi="Times New Roman"/>
          <w:b w:val="0"/>
          <w:sz w:val="24"/>
          <w:lang w:val="en-US" w:eastAsia="zh-CN"/>
        </w:rPr>
        <w:t>就医</w:t>
      </w:r>
      <w:r>
        <w:rPr>
          <w:rFonts w:hint="eastAsia" w:ascii="Times New Roman" w:hAnsi="Times New Roman"/>
          <w:b w:val="0"/>
          <w:sz w:val="24"/>
          <w:lang w:val="en-US" w:eastAsia="zh-CN"/>
        </w:rPr>
        <w:t>服务</w:t>
      </w:r>
      <w:r>
        <w:rPr>
          <w:rFonts w:ascii="Times New Roman" w:hAnsi="Times New Roman" w:eastAsia="宋体"/>
          <w:b w:val="0"/>
          <w:sz w:val="24"/>
        </w:rPr>
        <w:t>。本研究关注的A医药集团互联网医院即属于第三类模式。</w:t>
      </w:r>
    </w:p>
    <w:p w14:paraId="26C62576">
      <w:pPr>
        <w:spacing w:before="0" w:after="0" w:line="400" w:lineRule="exact"/>
        <w:ind w:firstLine="480"/>
        <w:jc w:val="both"/>
      </w:pPr>
      <w:r>
        <w:rPr>
          <w:rFonts w:ascii="Times New Roman" w:hAnsi="Times New Roman" w:eastAsia="宋体"/>
          <w:b w:val="0"/>
          <w:sz w:val="24"/>
        </w:rPr>
        <w:t>把视线转向国际，美国凯撒医疗集团（Kaiser Permanente）一直是全球互联网医疗整合的标杆案例。李皓月等（2025）对凯撒医疗集团的慢病管理模式进行了深入研究，指出其成功的关键在于将保险、医疗服务和信息技术三大功能整合到统一的组织架构中，</w:t>
      </w:r>
      <w:r>
        <w:rPr>
          <w:rFonts w:hint="eastAsia" w:ascii="Times New Roman" w:hAnsi="Times New Roman"/>
          <w:b w:val="0"/>
          <w:sz w:val="24"/>
          <w:lang w:val="en-US" w:eastAsia="zh-CN"/>
        </w:rPr>
        <w:t>从而</w:t>
      </w:r>
      <w:r>
        <w:rPr>
          <w:rFonts w:ascii="Times New Roman" w:hAnsi="Times New Roman" w:eastAsia="宋体"/>
          <w:b w:val="0"/>
          <w:sz w:val="24"/>
        </w:rPr>
        <w:t>实现了</w:t>
      </w:r>
      <w:r>
        <w:rPr>
          <w:rFonts w:ascii="Times New Roman" w:hAnsi="Times New Roman" w:eastAsia="宋体"/>
          <w:b w:val="0"/>
          <w:sz w:val="24"/>
        </w:rPr>
        <w:t>预防、诊疗到康复的全流程闭环管理。英国的国民健康服务体系（NHS）</w:t>
      </w:r>
      <w:r>
        <w:rPr>
          <w:rFonts w:hint="eastAsia" w:ascii="Times New Roman" w:hAnsi="Times New Roman"/>
          <w:b w:val="0"/>
          <w:sz w:val="24"/>
          <w:lang w:val="en-US" w:eastAsia="zh-CN"/>
        </w:rPr>
        <w:t>则</w:t>
      </w:r>
      <w:r>
        <w:rPr>
          <w:rFonts w:ascii="Times New Roman" w:hAnsi="Times New Roman" w:eastAsia="宋体"/>
          <w:b w:val="0"/>
          <w:sz w:val="24"/>
        </w:rPr>
        <w:t>通过数字转型战略建立了统一的在线服务平台（NHS App），实现了全科医生在线预约、</w:t>
      </w:r>
      <w:r>
        <w:rPr>
          <w:rFonts w:hint="eastAsia" w:ascii="Times New Roman" w:hAnsi="Times New Roman"/>
          <w:b w:val="0"/>
          <w:sz w:val="24"/>
          <w:lang w:val="en-US" w:eastAsia="zh-CN"/>
        </w:rPr>
        <w:t>复诊</w:t>
      </w:r>
      <w:r>
        <w:rPr>
          <w:rFonts w:hint="eastAsia" w:ascii="Times New Roman" w:hAnsi="Times New Roman"/>
          <w:b w:val="0"/>
          <w:sz w:val="24"/>
          <w:lang w:val="en-US" w:eastAsia="zh-CN"/>
        </w:rPr>
        <w:t>患者</w:t>
      </w:r>
      <w:r>
        <w:rPr>
          <w:rFonts w:ascii="Times New Roman" w:hAnsi="Times New Roman" w:eastAsia="宋体"/>
          <w:b w:val="0"/>
          <w:sz w:val="24"/>
        </w:rPr>
        <w:t>在线续方</w:t>
      </w:r>
      <w:r>
        <w:rPr>
          <w:rFonts w:hint="eastAsia" w:ascii="Times New Roman" w:hAnsi="Times New Roman"/>
          <w:b w:val="0"/>
          <w:sz w:val="24"/>
          <w:lang w:val="en-US" w:eastAsia="zh-CN"/>
        </w:rPr>
        <w:t>以及</w:t>
      </w:r>
      <w:r>
        <w:rPr>
          <w:rFonts w:ascii="Times New Roman" w:hAnsi="Times New Roman" w:eastAsia="宋体"/>
          <w:b w:val="0"/>
          <w:sz w:val="24"/>
        </w:rPr>
        <w:t>健康档案在线查询等功能。这些国际经验表明，互联网医疗的成功不仅依赖技术平台的先进程度，更依赖配套的组织设计、流程再造和制度创新。</w:t>
      </w:r>
    </w:p>
    <w:p w14:paraId="43BD5009">
      <w:pPr>
        <w:spacing w:before="240" w:after="120" w:line="240" w:lineRule="auto"/>
        <w:ind w:firstLine="520"/>
        <w:outlineLvl w:val="2"/>
      </w:pPr>
      <w:bookmarkStart w:id="17" w:name="_Toc31247"/>
      <w:r>
        <w:rPr>
          <w:rFonts w:ascii="Times New Roman" w:hAnsi="Times New Roman" w:eastAsia="黑体"/>
          <w:b/>
          <w:sz w:val="26"/>
        </w:rPr>
        <w:t>二、互联网医院运营模式研究</w:t>
      </w:r>
      <w:bookmarkEnd w:id="17"/>
    </w:p>
    <w:p w14:paraId="09593493">
      <w:pPr>
        <w:spacing w:before="0" w:after="0" w:line="400" w:lineRule="exact"/>
        <w:ind w:firstLine="480"/>
        <w:jc w:val="both"/>
      </w:pPr>
      <w:r>
        <w:rPr>
          <w:rFonts w:hint="eastAsia" w:ascii="Times New Roman" w:hAnsi="Times New Roman"/>
          <w:b w:val="0"/>
          <w:sz w:val="24"/>
          <w:lang w:val="en-US" w:eastAsia="zh-CN"/>
        </w:rPr>
        <w:t>现有</w:t>
      </w:r>
      <w:r>
        <w:rPr>
          <w:rFonts w:hint="eastAsia" w:ascii="Times New Roman" w:hAnsi="Times New Roman"/>
          <w:b w:val="0"/>
          <w:sz w:val="24"/>
          <w:lang w:val="en-US" w:eastAsia="zh-CN"/>
        </w:rPr>
        <w:t>文献</w:t>
      </w:r>
      <w:r>
        <w:rPr>
          <w:rFonts w:hint="eastAsia" w:ascii="Times New Roman" w:hAnsi="Times New Roman"/>
          <w:b w:val="0"/>
          <w:sz w:val="24"/>
          <w:lang w:val="en-US" w:eastAsia="zh-CN"/>
        </w:rPr>
        <w:t>多</w:t>
      </w:r>
      <w:r>
        <w:rPr>
          <w:rFonts w:ascii="Times New Roman" w:hAnsi="Times New Roman" w:eastAsia="宋体"/>
          <w:b w:val="0"/>
          <w:sz w:val="24"/>
        </w:rPr>
        <w:t>围绕互联网医院</w:t>
      </w:r>
      <w:r>
        <w:rPr>
          <w:rFonts w:hint="eastAsia" w:ascii="Times New Roman" w:hAnsi="Times New Roman"/>
          <w:b w:val="0"/>
          <w:sz w:val="24"/>
          <w:lang w:val="en-US" w:eastAsia="zh-CN"/>
        </w:rPr>
        <w:t>的</w:t>
      </w:r>
      <w:r>
        <w:rPr>
          <w:rFonts w:ascii="Times New Roman" w:hAnsi="Times New Roman" w:eastAsia="宋体"/>
          <w:b w:val="0"/>
          <w:sz w:val="24"/>
        </w:rPr>
        <w:t>运营模式</w:t>
      </w:r>
      <w:r>
        <w:rPr>
          <w:rFonts w:hint="eastAsia" w:ascii="Times New Roman" w:hAnsi="Times New Roman"/>
          <w:b w:val="0"/>
          <w:sz w:val="24"/>
          <w:lang w:val="en-US" w:eastAsia="zh-CN"/>
        </w:rPr>
        <w:t>进行</w:t>
      </w:r>
      <w:r>
        <w:rPr>
          <w:rFonts w:ascii="Times New Roman" w:hAnsi="Times New Roman" w:eastAsia="宋体"/>
          <w:b w:val="0"/>
          <w:sz w:val="24"/>
        </w:rPr>
        <w:t>讨论，</w:t>
      </w:r>
      <w:r>
        <w:rPr>
          <w:rFonts w:hint="eastAsia" w:ascii="Times New Roman" w:hAnsi="Times New Roman"/>
          <w:b w:val="0"/>
          <w:sz w:val="24"/>
          <w:lang w:val="en-US" w:eastAsia="zh-CN"/>
        </w:rPr>
        <w:t>主要</w:t>
      </w:r>
      <w:r>
        <w:rPr>
          <w:rFonts w:hint="eastAsia" w:ascii="Times New Roman" w:hAnsi="Times New Roman"/>
          <w:b w:val="0"/>
          <w:sz w:val="24"/>
          <w:lang w:val="en-US" w:eastAsia="zh-CN"/>
        </w:rPr>
        <w:t>集中</w:t>
      </w:r>
      <w:r>
        <w:rPr>
          <w:rFonts w:hint="eastAsia" w:ascii="Times New Roman" w:hAnsi="Times New Roman"/>
          <w:b w:val="0"/>
          <w:sz w:val="24"/>
          <w:lang w:val="en-US" w:eastAsia="zh-CN"/>
        </w:rPr>
        <w:t>在</w:t>
      </w:r>
      <w:r>
        <w:rPr>
          <w:rFonts w:hint="eastAsia" w:ascii="Times New Roman" w:hAnsi="Times New Roman"/>
          <w:b w:val="0"/>
          <w:sz w:val="24"/>
          <w:lang w:val="en-US" w:eastAsia="zh-CN"/>
        </w:rPr>
        <w:t>三大部分</w:t>
      </w:r>
      <w:r>
        <w:rPr>
          <w:rFonts w:ascii="Times New Roman" w:hAnsi="Times New Roman" w:eastAsia="宋体"/>
          <w:b w:val="0"/>
          <w:sz w:val="24"/>
        </w:rPr>
        <w:t>：服务流程</w:t>
      </w:r>
      <w:r>
        <w:rPr>
          <w:rFonts w:ascii="Times New Roman" w:hAnsi="Times New Roman" w:eastAsia="宋体"/>
          <w:b w:val="0"/>
          <w:sz w:val="24"/>
        </w:rPr>
        <w:t>设计、</w:t>
      </w:r>
      <w:r>
        <w:rPr>
          <w:rFonts w:hint="eastAsia" w:ascii="Times New Roman" w:hAnsi="Times New Roman"/>
          <w:b w:val="0"/>
          <w:sz w:val="24"/>
          <w:lang w:val="en-US" w:eastAsia="zh-CN"/>
        </w:rPr>
        <w:t>盈利模式</w:t>
      </w:r>
      <w:r>
        <w:rPr>
          <w:rFonts w:hint="eastAsia" w:ascii="Times New Roman" w:hAnsi="Times New Roman"/>
          <w:b w:val="0"/>
          <w:sz w:val="24"/>
          <w:lang w:val="en-US" w:eastAsia="zh-CN"/>
        </w:rPr>
        <w:t>以及</w:t>
      </w:r>
      <w:r>
        <w:rPr>
          <w:rFonts w:ascii="Times New Roman" w:hAnsi="Times New Roman" w:eastAsia="宋体"/>
          <w:b w:val="0"/>
          <w:sz w:val="24"/>
        </w:rPr>
        <w:t>线上线下如何融合。</w:t>
      </w:r>
    </w:p>
    <w:p w14:paraId="6B9AE1E5">
      <w:pPr>
        <w:spacing w:before="0" w:after="0" w:line="400" w:lineRule="exact"/>
        <w:ind w:firstLine="480"/>
        <w:jc w:val="both"/>
      </w:pPr>
      <w:r>
        <w:rPr>
          <w:rFonts w:ascii="Times New Roman" w:hAnsi="Times New Roman" w:eastAsia="宋体"/>
          <w:b w:val="0"/>
          <w:sz w:val="24"/>
        </w:rPr>
        <w:t>服务流程设计</w:t>
      </w:r>
      <w:r>
        <w:rPr>
          <w:rFonts w:hint="eastAsia" w:ascii="Times New Roman" w:hAnsi="Times New Roman"/>
          <w:b w:val="0"/>
          <w:sz w:val="24"/>
          <w:lang w:val="en-US" w:eastAsia="zh-CN"/>
        </w:rPr>
        <w:t>方面</w:t>
      </w:r>
      <w:r>
        <w:rPr>
          <w:rFonts w:ascii="Times New Roman" w:hAnsi="Times New Roman" w:eastAsia="宋体"/>
          <w:b w:val="0"/>
          <w:sz w:val="24"/>
        </w:rPr>
        <w:t>，Han等（2024）基于</w:t>
      </w:r>
      <w:r>
        <w:rPr>
          <w:rFonts w:ascii="Times New Roman" w:hAnsi="Times New Roman" w:eastAsia="宋体"/>
          <w:b w:val="0"/>
          <w:sz w:val="24"/>
        </w:rPr>
        <w:t>量表对互联网医院的服务质量开展了全国性横断面调查，通过比较患者的期望服务与感知服务，实证检验了服务质量各维度对患者整体满意度的影响，为互联网医院服务质量的标准化测量提供了工具基础。范一丁等（2025）探讨了AI识别技术与"互联网+"融合的智慧护理服务创新模式，展示了AI技术如何在护理服务流程中嵌入智能识别和自动分诊功能。</w:t>
      </w:r>
    </w:p>
    <w:p w14:paraId="4AE878CA">
      <w:pPr>
        <w:spacing w:before="0" w:after="0" w:line="400" w:lineRule="exact"/>
        <w:ind w:firstLine="480"/>
        <w:jc w:val="both"/>
      </w:pPr>
      <w:r>
        <w:rPr>
          <w:rFonts w:ascii="Times New Roman" w:hAnsi="Times New Roman" w:eastAsia="宋体"/>
          <w:b w:val="0"/>
          <w:sz w:val="24"/>
        </w:rPr>
        <w:t>盈利模式</w:t>
      </w:r>
      <w:r>
        <w:rPr>
          <w:rFonts w:hint="eastAsia" w:ascii="Times New Roman" w:hAnsi="Times New Roman"/>
          <w:b w:val="0"/>
          <w:sz w:val="24"/>
          <w:lang w:val="en-US" w:eastAsia="zh-CN"/>
        </w:rPr>
        <w:t>以及</w:t>
      </w:r>
      <w:r>
        <w:rPr>
          <w:rFonts w:ascii="Times New Roman" w:hAnsi="Times New Roman" w:eastAsia="宋体"/>
          <w:b w:val="0"/>
          <w:sz w:val="24"/>
        </w:rPr>
        <w:t>可持续性方面，现有研究的判断是：纯粹的在线问诊收费模式难以支撑互联网医院的长期运营。姚瑶等（2025）在分析医疗卫生数字化转型的挑战时指出，互联网医院的可持续运营需要建立多元化的收入结构，包括在线问诊费、药品配送服务费、慢病管理订阅费和面向保险公司的健康数据分析服务等。钱海章等（2024）从产业经济视角分析了数字化转型对生物医药企业创新的影响，其研究结论对医药集团的互联网医院业务拓展具有启示意义。</w:t>
      </w:r>
    </w:p>
    <w:p w14:paraId="1AA8C089">
      <w:pPr>
        <w:spacing w:before="0" w:after="0" w:line="400" w:lineRule="exact"/>
        <w:ind w:firstLine="480"/>
        <w:jc w:val="both"/>
      </w:pPr>
      <w:r>
        <w:rPr>
          <w:rFonts w:ascii="Times New Roman" w:hAnsi="Times New Roman" w:eastAsia="宋体"/>
          <w:b w:val="0"/>
          <w:sz w:val="24"/>
        </w:rPr>
        <w:t>至于线上线下的融合，Kraus等（2021）对医疗领域数字化转型的研究现状进行了系统文献综述，将既有研究归纳为医疗机构运营效率、以患者为中心的服务方法、组织因素与管理启示、人力资源实践和社会经济影响五</w:t>
      </w:r>
      <w:r>
        <w:rPr>
          <w:rFonts w:hint="eastAsia" w:ascii="Times New Roman" w:hAnsi="Times New Roman"/>
          <w:b w:val="0"/>
          <w:sz w:val="24"/>
          <w:lang w:val="en-US" w:eastAsia="zh-CN"/>
        </w:rPr>
        <w:t>大</w:t>
      </w:r>
      <w:r>
        <w:rPr>
          <w:rFonts w:hint="eastAsia" w:ascii="Times New Roman" w:hAnsi="Times New Roman"/>
          <w:b w:val="0"/>
          <w:sz w:val="24"/>
          <w:lang w:val="en-US" w:eastAsia="zh-CN"/>
        </w:rPr>
        <w:t>主题</w:t>
      </w:r>
      <w:r>
        <w:rPr>
          <w:rFonts w:ascii="Times New Roman" w:hAnsi="Times New Roman" w:eastAsia="宋体"/>
          <w:b w:val="0"/>
          <w:sz w:val="24"/>
        </w:rPr>
        <w:t>，指出数字技术的落地需要与组织变革和管理调整协同推进，才能真正转化为运营效率和服务质量的提升。这一研究图景为理解互联网医院线上线下一体化与多院区协同管理的复杂性提供了整体性的分析视角。</w:t>
      </w:r>
    </w:p>
    <w:p w14:paraId="7ABD07BF">
      <w:pPr>
        <w:spacing w:before="240" w:after="120" w:line="240" w:lineRule="auto"/>
        <w:ind w:firstLine="520"/>
        <w:outlineLvl w:val="2"/>
      </w:pPr>
      <w:bookmarkStart w:id="18" w:name="_Toc22978"/>
      <w:r>
        <w:rPr>
          <w:rFonts w:ascii="Times New Roman" w:hAnsi="Times New Roman" w:eastAsia="黑体"/>
          <w:b/>
          <w:sz w:val="26"/>
        </w:rPr>
        <w:t>三、互联网医院服务质量与效率研究</w:t>
      </w:r>
      <w:bookmarkEnd w:id="18"/>
    </w:p>
    <w:p w14:paraId="2038AE48">
      <w:pPr>
        <w:spacing w:before="0" w:after="0" w:line="400" w:lineRule="exact"/>
        <w:ind w:firstLine="480"/>
        <w:jc w:val="both"/>
      </w:pPr>
      <w:r>
        <w:rPr>
          <w:rFonts w:ascii="Times New Roman" w:hAnsi="Times New Roman" w:eastAsia="宋体"/>
          <w:b w:val="0"/>
          <w:sz w:val="24"/>
        </w:rPr>
        <w:t>服务质量和服务效率是互联网医院管理绕不开的两个变量，相关研究已经积累了不少。</w:t>
      </w:r>
    </w:p>
    <w:p w14:paraId="3F38CC95">
      <w:pPr>
        <w:spacing w:before="0" w:after="0" w:line="400" w:lineRule="exact"/>
        <w:ind w:firstLine="480"/>
        <w:jc w:val="both"/>
      </w:pPr>
      <w:r>
        <w:rPr>
          <w:rFonts w:hint="eastAsia" w:ascii="Times New Roman" w:hAnsi="Times New Roman"/>
          <w:b w:val="0"/>
          <w:sz w:val="24"/>
          <w:lang w:val="en-US" w:eastAsia="zh-CN"/>
        </w:rPr>
        <w:t>对于</w:t>
      </w:r>
      <w:r>
        <w:rPr>
          <w:rFonts w:ascii="Times New Roman" w:hAnsi="Times New Roman" w:eastAsia="宋体"/>
          <w:b w:val="0"/>
          <w:sz w:val="24"/>
        </w:rPr>
        <w:t>服务质量评价</w:t>
      </w:r>
      <w:r>
        <w:rPr>
          <w:rFonts w:ascii="Times New Roman" w:hAnsi="Times New Roman" w:eastAsia="宋体"/>
          <w:b w:val="0"/>
          <w:sz w:val="24"/>
        </w:rPr>
        <w:t>，患者满意度是多数研究选定的核心指标，而影响服务质量的几个因素也已被反复识别出来：医生响应速度（患者从提交问诊到获得医生接诊的等待时间）、信息获取的便捷性（平台界面设计和操作流程的友好程度）、诊疗质量感知（患者对远程诊断准确性和可靠性的主观评价）以及后续服务的衔接（处方流转</w:t>
      </w:r>
      <w:r>
        <w:rPr>
          <w:rFonts w:hint="eastAsia" w:ascii="Times New Roman" w:hAnsi="Times New Roman"/>
          <w:b w:val="0"/>
          <w:sz w:val="24"/>
          <w:lang w:val="en-US" w:eastAsia="zh-CN"/>
        </w:rPr>
        <w:t>速度</w:t>
      </w:r>
      <w:r>
        <w:rPr>
          <w:rFonts w:hint="eastAsia" w:ascii="Times New Roman" w:hAnsi="Times New Roman"/>
          <w:b w:val="0"/>
          <w:sz w:val="24"/>
          <w:lang w:val="en-US" w:eastAsia="zh-CN"/>
        </w:rPr>
        <w:t>、</w:t>
      </w:r>
      <w:r>
        <w:rPr>
          <w:rFonts w:ascii="Times New Roman" w:hAnsi="Times New Roman" w:eastAsia="宋体"/>
          <w:b w:val="0"/>
          <w:sz w:val="24"/>
        </w:rPr>
        <w:t>药品配送</w:t>
      </w:r>
      <w:r>
        <w:rPr>
          <w:rFonts w:ascii="Times New Roman" w:hAnsi="Times New Roman" w:eastAsia="宋体"/>
          <w:b w:val="0"/>
          <w:sz w:val="24"/>
        </w:rPr>
        <w:t>顺畅程度</w:t>
      </w:r>
      <w:r>
        <w:rPr>
          <w:rFonts w:hint="eastAsia" w:ascii="Times New Roman" w:hAnsi="Times New Roman"/>
          <w:b w:val="0"/>
          <w:sz w:val="24"/>
          <w:lang w:eastAsia="zh-CN"/>
        </w:rPr>
        <w:t>、</w:t>
      </w:r>
      <w:r>
        <w:rPr>
          <w:rFonts w:hint="eastAsia" w:ascii="Times New Roman" w:hAnsi="Times New Roman"/>
          <w:b w:val="0"/>
          <w:sz w:val="24"/>
          <w:lang w:val="en-US" w:eastAsia="zh-CN"/>
        </w:rPr>
        <w:t>随访</w:t>
      </w:r>
      <w:r>
        <w:rPr>
          <w:rFonts w:hint="eastAsia" w:ascii="Times New Roman" w:hAnsi="Times New Roman"/>
          <w:b w:val="0"/>
          <w:sz w:val="24"/>
          <w:lang w:val="en-US" w:eastAsia="zh-CN"/>
        </w:rPr>
        <w:t>及</w:t>
      </w:r>
      <w:r>
        <w:rPr>
          <w:rFonts w:hint="eastAsia" w:ascii="Times New Roman" w:hAnsi="Times New Roman"/>
          <w:b w:val="0"/>
          <w:sz w:val="24"/>
          <w:lang w:val="en-US" w:eastAsia="zh-CN"/>
        </w:rPr>
        <w:t>回访</w:t>
      </w:r>
      <w:r>
        <w:rPr>
          <w:rFonts w:hint="eastAsia" w:ascii="Times New Roman" w:hAnsi="Times New Roman"/>
          <w:b w:val="0"/>
          <w:sz w:val="24"/>
          <w:lang w:val="en-US" w:eastAsia="zh-CN"/>
        </w:rPr>
        <w:t>的</w:t>
      </w:r>
      <w:r>
        <w:rPr>
          <w:rFonts w:hint="eastAsia" w:ascii="Times New Roman" w:hAnsi="Times New Roman"/>
          <w:b w:val="0"/>
          <w:sz w:val="24"/>
          <w:lang w:val="en-US" w:eastAsia="zh-CN"/>
        </w:rPr>
        <w:t>跟进</w:t>
      </w:r>
      <w:r>
        <w:rPr>
          <w:rFonts w:hint="eastAsia" w:ascii="Times New Roman" w:hAnsi="Times New Roman"/>
          <w:b w:val="0"/>
          <w:sz w:val="24"/>
          <w:lang w:val="en-US" w:eastAsia="zh-CN"/>
        </w:rPr>
        <w:t>程度</w:t>
      </w:r>
      <w:r>
        <w:rPr>
          <w:rFonts w:hint="eastAsia" w:ascii="Times New Roman" w:hAnsi="Times New Roman"/>
          <w:b w:val="0"/>
          <w:sz w:val="24"/>
          <w:lang w:val="en-US" w:eastAsia="zh-CN"/>
        </w:rPr>
        <w:t>等</w:t>
      </w:r>
      <w:r>
        <w:rPr>
          <w:rFonts w:ascii="Times New Roman" w:hAnsi="Times New Roman" w:eastAsia="宋体"/>
          <w:b w:val="0"/>
          <w:sz w:val="24"/>
        </w:rPr>
        <w:t>）。Reis等（2018）对数字化转型领域的研究文献进行了系统回顾，提出了数字化转型研究的整合分析框架和未来研究指引，指出数字化转型是涵盖技术、组织与业务等多个维度的系统性变革过程。这一框架对于理解医疗机构数字化转型的多维性具有参照意义。</w:t>
      </w:r>
    </w:p>
    <w:p w14:paraId="4A5544EC">
      <w:pPr>
        <w:spacing w:before="0" w:after="0" w:line="400" w:lineRule="exact"/>
        <w:ind w:firstLine="480"/>
        <w:jc w:val="both"/>
      </w:pPr>
      <w:r>
        <w:rPr>
          <w:rFonts w:hint="eastAsia" w:ascii="Times New Roman" w:hAnsi="Times New Roman"/>
          <w:b w:val="0"/>
          <w:sz w:val="24"/>
          <w:lang w:val="en-US" w:eastAsia="zh-CN"/>
        </w:rPr>
        <w:t>在</w:t>
      </w:r>
      <w:r>
        <w:rPr>
          <w:rFonts w:ascii="Times New Roman" w:hAnsi="Times New Roman" w:eastAsia="宋体"/>
          <w:b w:val="0"/>
          <w:sz w:val="24"/>
        </w:rPr>
        <w:t>服务效率评价</w:t>
      </w:r>
      <w:r>
        <w:rPr>
          <w:rFonts w:hint="eastAsia" w:ascii="Times New Roman" w:hAnsi="Times New Roman"/>
          <w:b w:val="0"/>
          <w:sz w:val="24"/>
          <w:lang w:val="en-US" w:eastAsia="zh-CN"/>
        </w:rPr>
        <w:t>方面</w:t>
      </w:r>
      <w:r>
        <w:rPr>
          <w:rFonts w:ascii="Times New Roman" w:hAnsi="Times New Roman" w:eastAsia="宋体"/>
          <w:b w:val="0"/>
          <w:sz w:val="24"/>
        </w:rPr>
        <w:t>，传统路径依赖描述性统计指标</w:t>
      </w:r>
      <w:r>
        <w:rPr>
          <w:rFonts w:hint="eastAsia" w:ascii="Times New Roman" w:hAnsi="Times New Roman"/>
          <w:b w:val="0"/>
          <w:sz w:val="24"/>
          <w:lang w:eastAsia="zh-CN"/>
        </w:rPr>
        <w:t>，</w:t>
      </w:r>
      <w:r>
        <w:rPr>
          <w:rFonts w:hint="eastAsia" w:ascii="Times New Roman" w:hAnsi="Times New Roman"/>
          <w:b w:val="0"/>
          <w:sz w:val="24"/>
          <w:lang w:val="en-US" w:eastAsia="zh-CN"/>
        </w:rPr>
        <w:t>比如</w:t>
      </w:r>
      <w:r>
        <w:rPr>
          <w:rFonts w:ascii="Times New Roman" w:hAnsi="Times New Roman" w:eastAsia="宋体"/>
          <w:b w:val="0"/>
          <w:sz w:val="24"/>
        </w:rPr>
        <w:t>月在线问诊量、处方开具量、药品配送成功率之类。</w:t>
      </w:r>
      <w:r>
        <w:rPr>
          <w:rFonts w:hint="eastAsia" w:ascii="Times New Roman" w:hAnsi="Times New Roman"/>
          <w:b w:val="0"/>
          <w:sz w:val="24"/>
          <w:lang w:val="en-US" w:eastAsia="zh-CN"/>
        </w:rPr>
        <w:t>然而</w:t>
      </w:r>
      <w:r>
        <w:rPr>
          <w:rFonts w:ascii="Times New Roman" w:hAnsi="Times New Roman" w:eastAsia="宋体"/>
          <w:b w:val="0"/>
          <w:sz w:val="24"/>
        </w:rPr>
        <w:t>这些数字只看得到服务产出的结果，流程内部跑得顺不顺，它们回答不了。</w:t>
      </w:r>
      <w:r>
        <w:rPr>
          <w:rFonts w:hint="eastAsia" w:ascii="Times New Roman" w:hAnsi="Times New Roman"/>
          <w:b w:val="0"/>
          <w:sz w:val="24"/>
          <w:lang w:val="en-US" w:eastAsia="zh-CN"/>
        </w:rPr>
        <w:t>我们</w:t>
      </w:r>
      <w:r>
        <w:rPr>
          <w:rFonts w:hint="eastAsia" w:ascii="Times New Roman" w:hAnsi="Times New Roman"/>
          <w:b w:val="0"/>
          <w:sz w:val="24"/>
          <w:lang w:val="en-US" w:eastAsia="zh-CN"/>
        </w:rPr>
        <w:t>更</w:t>
      </w:r>
      <w:r>
        <w:rPr>
          <w:rFonts w:hint="eastAsia" w:ascii="Times New Roman" w:hAnsi="Times New Roman"/>
          <w:b w:val="0"/>
          <w:sz w:val="24"/>
          <w:lang w:val="en-US" w:eastAsia="zh-CN"/>
        </w:rPr>
        <w:t>应该</w:t>
      </w:r>
      <w:r>
        <w:rPr>
          <w:rFonts w:ascii="Times New Roman" w:hAnsi="Times New Roman" w:eastAsia="宋体"/>
          <w:b w:val="0"/>
          <w:sz w:val="24"/>
        </w:rPr>
        <w:t>转向过程导向的分析方法，从事件日志里挖掘效率信息。Rojas等（2016）对过程分析法（Process Mining）在医疗健康领域的应用进行了系统的文献综述，梳理了该方法在医院流程监控、临床路径分析、急诊流程优化等场景中的典型应用，</w:t>
      </w:r>
      <w:r>
        <w:rPr>
          <w:rFonts w:ascii="Times New Roman" w:hAnsi="Times New Roman" w:eastAsia="宋体"/>
          <w:b w:val="0"/>
          <w:sz w:val="24"/>
        </w:rPr>
        <w:t>指出既有研究以线下医疗机构内部流程为主，对线上线下相融合的医疗服务场景关注不足。这一综述表明，将过程分析法应用于互联网医院服务流程、特别是多院区协同的复杂场景，</w:t>
      </w:r>
      <w:r>
        <w:rPr>
          <w:rFonts w:ascii="Times New Roman" w:hAnsi="Times New Roman" w:eastAsia="宋体"/>
          <w:b w:val="0"/>
          <w:sz w:val="24"/>
        </w:rPr>
        <w:t>有</w:t>
      </w:r>
      <w:r>
        <w:rPr>
          <w:rFonts w:hint="eastAsia" w:ascii="Times New Roman" w:hAnsi="Times New Roman"/>
          <w:b w:val="0"/>
          <w:sz w:val="24"/>
          <w:lang w:val="en-US" w:eastAsia="zh-CN"/>
        </w:rPr>
        <w:t>很大</w:t>
      </w:r>
      <w:r>
        <w:rPr>
          <w:rFonts w:ascii="Times New Roman" w:hAnsi="Times New Roman" w:eastAsia="宋体"/>
          <w:b w:val="0"/>
          <w:sz w:val="24"/>
        </w:rPr>
        <w:t>的</w:t>
      </w:r>
      <w:r>
        <w:rPr>
          <w:rFonts w:ascii="Times New Roman" w:hAnsi="Times New Roman" w:eastAsia="宋体"/>
          <w:b w:val="0"/>
          <w:sz w:val="24"/>
        </w:rPr>
        <w:t>待开拓的研究空间。</w:t>
      </w:r>
    </w:p>
    <w:p w14:paraId="32764CBE">
      <w:pPr>
        <w:spacing w:before="0" w:after="0" w:line="400" w:lineRule="exact"/>
        <w:ind w:firstLine="480"/>
        <w:jc w:val="both"/>
      </w:pPr>
      <w:r>
        <w:rPr>
          <w:rFonts w:ascii="Times New Roman" w:hAnsi="Times New Roman" w:eastAsia="宋体"/>
          <w:b w:val="0"/>
          <w:sz w:val="24"/>
        </w:rPr>
        <w:t>杨善林等（2021）则从"医联网"的概念出发，系统论述了新时代医疗健康模式的变革与创新发展方向，提出了"人机物"三元融合的智慧医疗架构。该研究从宏观视野勾勒了医疗健康数字化的发展蓝图，但未深入探讨具体业务流程层面的优化方法。</w:t>
      </w:r>
    </w:p>
    <w:p w14:paraId="4FE5A8F2">
      <w:pPr>
        <w:spacing w:before="480" w:after="120" w:line="240" w:lineRule="auto"/>
        <w:jc w:val="center"/>
        <w:outlineLvl w:val="1"/>
      </w:pPr>
      <w:bookmarkStart w:id="19" w:name="_Toc32438"/>
      <w:r>
        <w:rPr>
          <w:rFonts w:ascii="Times New Roman" w:hAnsi="Times New Roman" w:eastAsia="黑体"/>
          <w:b/>
          <w:sz w:val="28"/>
        </w:rPr>
        <w:t>第二节　服务流程优化理论</w:t>
      </w:r>
      <w:bookmarkEnd w:id="19"/>
    </w:p>
    <w:p w14:paraId="49E35508">
      <w:pPr>
        <w:spacing w:before="240" w:after="120" w:line="240" w:lineRule="auto"/>
        <w:ind w:firstLine="520"/>
        <w:outlineLvl w:val="2"/>
      </w:pPr>
      <w:bookmarkStart w:id="20" w:name="_Toc6885"/>
      <w:r>
        <w:rPr>
          <w:rFonts w:ascii="Times New Roman" w:hAnsi="Times New Roman" w:eastAsia="黑体"/>
          <w:b/>
          <w:sz w:val="26"/>
        </w:rPr>
        <w:t>一、服务蓝图理论</w:t>
      </w:r>
    </w:p>
    <w:p w14:paraId="7B0285D1">
      <w:pPr>
        <w:spacing w:before="0" w:after="0" w:line="400" w:lineRule="exact"/>
        <w:ind w:firstLine="480"/>
        <w:jc w:val="both"/>
      </w:pPr>
      <w:r>
        <w:rPr>
          <w:rFonts w:ascii="Times New Roman" w:hAnsi="Times New Roman" w:eastAsia="宋体"/>
          <w:b w:val="0"/>
          <w:sz w:val="24"/>
        </w:rPr>
        <w:t>服务蓝图</w:t>
      </w:r>
      <w:r>
        <w:rPr>
          <w:rFonts w:ascii="Times New Roman" w:hAnsi="Times New Roman" w:eastAsia="宋体"/>
          <w:b w:val="0"/>
          <w:sz w:val="24"/>
        </w:rPr>
        <w:t>是由Shostack于1984年提出的一种服务流程可视化工具。其核心思想是将服务流程垂直分解为多个层次，清晰展示前台（顾客可见的交互活动）、后台（顾客不可见但支持前台活动的操作）和支持过程（底层系统和基础设施）之间的关系。服务蓝图通过标注"互动线"（Line of Interaction）、"可视线"（Line of Visibility）和"内部互动线"（Line of Internal Interaction），将服务交付过程中的多层级互动关系进行结构化呈现。</w:t>
      </w:r>
    </w:p>
    <w:p w14:paraId="023AEF48">
      <w:pPr>
        <w:spacing w:before="0" w:after="0" w:line="400" w:lineRule="exact"/>
        <w:ind w:firstLine="480"/>
        <w:jc w:val="both"/>
      </w:pPr>
      <w:r>
        <w:rPr>
          <w:rFonts w:ascii="Times New Roman" w:hAnsi="Times New Roman" w:eastAsia="宋体"/>
          <w:b w:val="0"/>
          <w:sz w:val="24"/>
        </w:rPr>
        <w:t>Voorheis等（2025）运用范围综述方法，系统梳理了旅程地图（Journey Mapping）与服务蓝图两种工具在数字健康行为改变干预设计中的应用，指出服务蓝图能够将用户行为、前台交互与后台支持过程进行结构化呈现，是设计数字健康服务的有效建模工具，并呼吁将该类工具拓展至更为复杂的数字服务场景。这一结论对于分析互联网医院的在线服务流程具有</w:t>
      </w:r>
      <w:r>
        <w:rPr>
          <w:rFonts w:hint="eastAsia" w:ascii="Times New Roman" w:hAnsi="Times New Roman"/>
          <w:b w:val="0"/>
          <w:sz w:val="24"/>
          <w:lang w:val="en-US" w:eastAsia="zh-CN"/>
        </w:rPr>
        <w:t>极强</w:t>
      </w:r>
      <w:r>
        <w:rPr>
          <w:rFonts w:ascii="Times New Roman" w:hAnsi="Times New Roman" w:eastAsia="宋体"/>
          <w:b w:val="0"/>
          <w:sz w:val="24"/>
        </w:rPr>
        <w:t>的适用性，因为互联网医院的服务流程本质上就是从患者与数字</w:t>
      </w:r>
      <w:r>
        <w:rPr>
          <w:rFonts w:hint="eastAsia" w:ascii="Times New Roman" w:hAnsi="Times New Roman"/>
          <w:b w:val="0"/>
          <w:sz w:val="24"/>
          <w:lang w:val="en-US" w:eastAsia="zh-CN"/>
        </w:rPr>
        <w:t>健康服务</w:t>
      </w:r>
      <w:r>
        <w:rPr>
          <w:rFonts w:ascii="Times New Roman" w:hAnsi="Times New Roman" w:eastAsia="宋体"/>
          <w:b w:val="0"/>
          <w:sz w:val="24"/>
        </w:rPr>
        <w:t>平台（而非直接与医护人员）的首次接触开始的。本章对该综述的讨论，为第五章所述服务蓝图法向复杂数字服务场景拓展的贡献提供了直接的文献铺垫。</w:t>
      </w:r>
    </w:p>
    <w:p w14:paraId="2789FC4D">
      <w:pPr>
        <w:jc w:val="center"/>
      </w:pPr>
      <w:r>
        <w:drawing>
          <wp:inline distT="0" distB="0" distL="114300" distR="114300">
            <wp:extent cx="5039995" cy="2982595"/>
            <wp:effectExtent l="0" t="0" r="13335"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3"/>
                    <a:stretch>
                      <a:fillRect/>
                    </a:stretch>
                  </pic:blipFill>
                  <pic:spPr>
                    <a:xfrm>
                      <a:off x="0" y="0"/>
                      <a:ext cx="5040000" cy="2982857"/>
                    </a:xfrm>
                    <a:prstGeom prst="rect">
                      <a:avLst/>
                    </a:prstGeom>
                  </pic:spPr>
                </pic:pic>
              </a:graphicData>
            </a:graphic>
          </wp:inline>
        </w:drawing>
      </w:r>
    </w:p>
    <w:p w14:paraId="43B75A4C">
      <w:pPr>
        <w:spacing w:before="0" w:after="0" w:line="400" w:lineRule="exact"/>
        <w:ind w:firstLine="480"/>
        <w:jc w:val="both"/>
      </w:pPr>
      <w:r>
        <w:rPr>
          <w:rFonts w:ascii="Times New Roman" w:hAnsi="Times New Roman" w:eastAsia="宋体"/>
          <w:b w:val="0"/>
          <w:sz w:val="24"/>
        </w:rPr>
        <w:t>图2.2 服务蓝图三层结构示例</w:t>
      </w:r>
    </w:p>
    <w:p w14:paraId="7719DCF3">
      <w:pPr>
        <w:spacing w:before="0" w:after="0" w:line="400" w:lineRule="exact"/>
        <w:ind w:firstLine="480"/>
        <w:jc w:val="both"/>
      </w:pPr>
      <w:r>
        <w:rPr>
          <w:rFonts w:ascii="Times New Roman" w:hAnsi="Times New Roman" w:eastAsia="宋体"/>
          <w:b w:val="0"/>
          <w:sz w:val="24"/>
        </w:rPr>
        <w:t>在国内研究中，服务蓝图法已被应用于医疗服务流程的分析和优化，但主要集中在住院流程和门诊流程等线下场景。将服务蓝图应用于互联网医院场景的研究尚不充分，特别是将服务蓝图与过程分析法等数据驱动方法相结合的研究更为少见。本研究的理论贡献之一正是将服务蓝图法与过程分析法进行有机结合，以数据驱动的方式增强服务蓝图的客观性和精确性。</w:t>
      </w:r>
    </w:p>
    <w:p w14:paraId="61F52524">
      <w:pPr>
        <w:spacing w:before="240" w:after="120" w:line="240" w:lineRule="auto"/>
        <w:ind w:firstLine="520"/>
        <w:outlineLvl w:val="2"/>
      </w:pPr>
      <w:bookmarkStart w:id="21" w:name="_Toc24484"/>
      <w:r>
        <w:rPr>
          <w:rFonts w:ascii="Times New Roman" w:hAnsi="Times New Roman" w:eastAsia="黑体"/>
          <w:b/>
          <w:sz w:val="26"/>
        </w:rPr>
        <w:t>二、流程挖掘</w:t>
      </w:r>
    </w:p>
    <w:p w14:paraId="28027CE9">
      <w:pPr>
        <w:spacing w:before="0" w:after="0" w:line="400" w:lineRule="exact"/>
        <w:ind w:firstLine="480"/>
        <w:jc w:val="both"/>
      </w:pPr>
      <w:r>
        <w:rPr>
          <w:rFonts w:ascii="Times New Roman" w:hAnsi="Times New Roman" w:eastAsia="宋体"/>
          <w:b w:val="0"/>
          <w:sz w:val="24"/>
        </w:rPr>
        <w:t>流程挖掘</w:t>
      </w:r>
      <w:r>
        <w:rPr>
          <w:rFonts w:ascii="Times New Roman" w:hAnsi="Times New Roman" w:eastAsia="宋体"/>
          <w:b w:val="0"/>
          <w:sz w:val="24"/>
        </w:rPr>
        <w:t>是Van der Aalst于2011年系统提出的一种从信息系统事件日志中自动发现、监控和改进业务流程的数据驱动方法。过程分析法建立了事件日志数据与流程模型之间的桥梁，其核心思想是从"数据"中重建"流程"，而非依赖主观经验和访谈来描述流程。</w:t>
      </w:r>
    </w:p>
    <w:p w14:paraId="2034B7A0">
      <w:pPr>
        <w:spacing w:before="0" w:after="0" w:line="400" w:lineRule="exact"/>
        <w:ind w:firstLine="480"/>
        <w:jc w:val="both"/>
      </w:pPr>
      <w:r>
        <w:rPr>
          <w:rFonts w:ascii="Times New Roman" w:hAnsi="Times New Roman" w:eastAsia="宋体"/>
          <w:b w:val="0"/>
          <w:sz w:val="24"/>
        </w:rPr>
        <w:t>过程分析法包含三种基本类型。一是流程发现</w:t>
      </w:r>
      <w:r>
        <w:rPr>
          <w:rFonts w:ascii="Times New Roman" w:hAnsi="Times New Roman" w:eastAsia="宋体"/>
          <w:b w:val="0"/>
          <w:sz w:val="24"/>
        </w:rPr>
        <w:t>：从事件日志中自动生成流程模型，无需事先假定流程的结构，</w:t>
      </w:r>
      <w:r>
        <w:rPr>
          <w:rFonts w:ascii="Times New Roman" w:hAnsi="Times New Roman" w:eastAsia="宋体"/>
          <w:b w:val="0"/>
          <w:sz w:val="24"/>
          <w:highlight w:val="yellow"/>
        </w:rPr>
        <w:t>典型算法有Alpha Miner、Heuristic Miner和Inductive Miner，结果多以Petri网、过程树或BPMN流程图呈现</w:t>
      </w:r>
      <w:r>
        <w:rPr>
          <w:rFonts w:ascii="Times New Roman" w:hAnsi="Times New Roman" w:eastAsia="宋体"/>
          <w:b w:val="0"/>
          <w:sz w:val="24"/>
        </w:rPr>
        <w:t>。二是一致性检查</w:t>
      </w:r>
      <w:r>
        <w:rPr>
          <w:rFonts w:ascii="Times New Roman" w:hAnsi="Times New Roman" w:eastAsia="宋体"/>
          <w:b w:val="0"/>
          <w:sz w:val="24"/>
        </w:rPr>
        <w:t>：把实际发生的事件日志与预先设定的理想流程模型放在一起对比，量化两者的吻合程度，并定位偏离发生在哪个环节。三是流程增强</w:t>
      </w:r>
      <w:r>
        <w:rPr>
          <w:rFonts w:ascii="Times New Roman" w:hAnsi="Times New Roman" w:eastAsia="宋体"/>
          <w:b w:val="0"/>
          <w:sz w:val="24"/>
        </w:rPr>
        <w:t>：基于日志中的时间和资源信息扩展、优化流程模型，比如标注每个活动的平均处理时间、找出瓶颈位置、预测流程完成时间。</w:t>
      </w:r>
    </w:p>
    <w:p w14:paraId="68EA6A16">
      <w:pPr>
        <w:spacing w:before="0" w:after="0" w:line="400" w:lineRule="exact"/>
        <w:ind w:firstLine="480"/>
        <w:jc w:val="both"/>
      </w:pPr>
      <w:r>
        <w:rPr>
          <w:rFonts w:ascii="Times New Roman" w:hAnsi="Times New Roman" w:eastAsia="宋体"/>
          <w:b w:val="0"/>
          <w:sz w:val="24"/>
        </w:rPr>
        <w:t>过程分析法的应用前提是事件日志数据必须满足最低的结构要求，即每条事件记录必须包含案例标识</w:t>
      </w:r>
      <w:r>
        <w:rPr>
          <w:rFonts w:ascii="Times New Roman" w:hAnsi="Times New Roman" w:eastAsia="宋体"/>
          <w:b w:val="0"/>
          <w:sz w:val="24"/>
        </w:rPr>
        <w:t>、活动名称</w:t>
      </w:r>
      <w:r>
        <w:rPr>
          <w:rFonts w:ascii="Times New Roman" w:hAnsi="Times New Roman" w:eastAsia="宋体"/>
          <w:b w:val="0"/>
          <w:sz w:val="24"/>
        </w:rPr>
        <w:t>和时间戳</w:t>
      </w:r>
      <w:r>
        <w:rPr>
          <w:rFonts w:ascii="Times New Roman" w:hAnsi="Times New Roman" w:eastAsia="宋体"/>
          <w:b w:val="0"/>
          <w:sz w:val="24"/>
        </w:rPr>
        <w:t>这三个基本字段。本研究的数据基础</w:t>
      </w:r>
      <w:r>
        <w:rPr>
          <w:rFonts w:hint="eastAsia" w:ascii="Times New Roman" w:hAnsi="Times New Roman"/>
          <w:b w:val="0"/>
          <w:sz w:val="24"/>
          <w:lang w:eastAsia="zh-CN"/>
        </w:rPr>
        <w:t>是</w:t>
      </w:r>
      <w:r>
        <w:rPr>
          <w:rFonts w:hint="eastAsia" w:ascii="Times New Roman" w:hAnsi="Times New Roman"/>
          <w:b w:val="0"/>
          <w:sz w:val="24"/>
          <w:lang w:val="en-US" w:eastAsia="zh-CN"/>
        </w:rPr>
        <w:t>A</w:t>
      </w:r>
      <w:r>
        <w:rPr>
          <w:rFonts w:hint="eastAsia" w:ascii="Times New Roman" w:hAnsi="Times New Roman"/>
          <w:b w:val="0"/>
          <w:sz w:val="24"/>
          <w:lang w:val="en-US" w:eastAsia="zh-CN"/>
        </w:rPr>
        <w:t>集团</w:t>
      </w:r>
      <w:r>
        <w:rPr>
          <w:rFonts w:hint="eastAsia" w:ascii="Times New Roman" w:hAnsi="Times New Roman"/>
          <w:b w:val="0"/>
          <w:sz w:val="24"/>
          <w:lang w:val="en-US" w:eastAsia="zh-CN"/>
        </w:rPr>
        <w:t>统一</w:t>
      </w:r>
      <w:r>
        <w:rPr>
          <w:rFonts w:hint="eastAsia" w:ascii="Times New Roman" w:hAnsi="Times New Roman"/>
          <w:b w:val="0"/>
          <w:sz w:val="24"/>
          <w:lang w:val="en-US" w:eastAsia="zh-CN"/>
        </w:rPr>
        <w:t>管理</w:t>
      </w:r>
      <w:r>
        <w:rPr>
          <w:rFonts w:ascii="Times New Roman" w:hAnsi="Times New Roman" w:eastAsia="宋体"/>
          <w:b w:val="0"/>
          <w:sz w:val="24"/>
        </w:rPr>
        <w:t>平台的一千余万条事件日志数据</w:t>
      </w:r>
      <w:r>
        <w:rPr>
          <w:rFonts w:hint="eastAsia" w:ascii="Times New Roman" w:hAnsi="Times New Roman"/>
          <w:b w:val="0"/>
          <w:sz w:val="24"/>
          <w:lang w:eastAsia="zh-CN"/>
        </w:rPr>
        <w:t>，</w:t>
      </w:r>
      <w:r>
        <w:rPr>
          <w:rFonts w:hint="eastAsia" w:ascii="Times New Roman" w:hAnsi="Times New Roman"/>
          <w:b w:val="0"/>
          <w:sz w:val="24"/>
          <w:lang w:val="en-US" w:eastAsia="zh-CN"/>
        </w:rPr>
        <w:t>能够</w:t>
      </w:r>
      <w:r>
        <w:rPr>
          <w:rFonts w:hint="eastAsia" w:ascii="Times New Roman" w:hAnsi="Times New Roman"/>
          <w:b w:val="0"/>
          <w:sz w:val="24"/>
          <w:lang w:val="en-US" w:eastAsia="zh-CN"/>
        </w:rPr>
        <w:t>充分</w:t>
      </w:r>
      <w:r>
        <w:rPr>
          <w:rFonts w:ascii="Times New Roman" w:hAnsi="Times New Roman" w:eastAsia="宋体"/>
          <w:b w:val="0"/>
          <w:sz w:val="24"/>
        </w:rPr>
        <w:t>满足上述要求，为过程分析法的应用提供了数据前提。</w:t>
      </w:r>
    </w:p>
    <w:p w14:paraId="7D9C3986">
      <w:pPr>
        <w:spacing w:before="0" w:after="0" w:line="400" w:lineRule="exact"/>
        <w:ind w:firstLine="480"/>
        <w:jc w:val="both"/>
      </w:pPr>
      <w:r>
        <w:rPr>
          <w:rFonts w:hint="eastAsia" w:ascii="Times New Roman" w:hAnsi="Times New Roman"/>
          <w:b w:val="0"/>
          <w:sz w:val="24"/>
          <w:lang w:val="en-US" w:eastAsia="zh-CN"/>
        </w:rPr>
        <w:t>回</w:t>
      </w:r>
      <w:r>
        <w:rPr>
          <w:rFonts w:ascii="Times New Roman" w:hAnsi="Times New Roman" w:eastAsia="宋体"/>
          <w:b w:val="0"/>
          <w:sz w:val="24"/>
        </w:rPr>
        <w:t>到医疗领域，过程分析法已经出现在住院流程、急诊流程和手术排程等场景的分析中。Samanta等（2023）对精益医疗实施研究进行了系统文献综述，基于对Web of Science和Scopus数据库中154篇相关文献的内容分析发现，既有研究多集中于医院内部临床流程的改善，对非临床服务流程的改进研究相对不足，且普遍缺乏对改进效果的长期追踪；就流程诊断环节而言，传统价值流图（VSM）等工具依赖人工观察和主观判断，数据驱动的诊断方法应用尚不充分。然而，现有研究多集中于线下医疗机构内部的流程分析，将过程分析法应用于线上线下一体化的互联网医院服务流程、特别是多院区协同场景下的流程分析尚处于起步阶段。本章对这一研究缺口的识别，为第五章所述方法论贡献的提出提供了文献依据。</w:t>
      </w:r>
    </w:p>
    <w:p w14:paraId="172A2DF1">
      <w:pPr>
        <w:spacing w:before="240" w:after="120" w:line="240" w:lineRule="auto"/>
        <w:ind w:firstLine="520"/>
        <w:outlineLvl w:val="2"/>
      </w:pPr>
      <w:bookmarkStart w:id="22" w:name="_Toc22066"/>
      <w:r>
        <w:rPr>
          <w:rFonts w:ascii="Times New Roman" w:hAnsi="Times New Roman" w:eastAsia="黑体"/>
          <w:b/>
          <w:sz w:val="26"/>
        </w:rPr>
        <w:t>三、层次分析法（AHP）</w:t>
      </w:r>
      <w:r>
        <w:rPr>
          <w:rFonts w:ascii="Times New Roman" w:hAnsi="Times New Roman" w:eastAsia="黑体"/>
          <w:b/>
          <w:sz w:val="26"/>
          <w:highlight w:val="yellow"/>
        </w:rPr>
        <w:t>与网络层次分析法（ANP）</w:t>
      </w:r>
      <w:bookmarkEnd w:id="22"/>
    </w:p>
    <w:p w14:paraId="2CA6BE19">
      <w:pPr>
        <w:spacing w:before="0" w:after="0" w:line="400" w:lineRule="exact"/>
        <w:ind w:firstLine="480"/>
        <w:jc w:val="both"/>
      </w:pPr>
      <w:r>
        <w:rPr>
          <w:rFonts w:ascii="Times New Roman" w:hAnsi="Times New Roman" w:eastAsia="宋体"/>
          <w:b w:val="0"/>
          <w:sz w:val="24"/>
        </w:rPr>
        <w:t>层次分析法（Analytic Hierarchy Process，AHP）是由Saaty于1980年提出的多准则决策方法。AHP通过将复杂决策问题分解为多层次结构（目标层、准则层、方案层），利用两两比较的方式确定各层次中诸</w:t>
      </w:r>
      <w:r>
        <w:rPr>
          <w:rFonts w:hint="eastAsia" w:ascii="Times New Roman" w:hAnsi="Times New Roman"/>
          <w:b w:val="0"/>
          <w:sz w:val="24"/>
          <w:lang w:val="en-US" w:eastAsia="zh-CN"/>
        </w:rPr>
        <w:t>多</w:t>
      </w:r>
      <w:r>
        <w:rPr>
          <w:rFonts w:ascii="Times New Roman" w:hAnsi="Times New Roman" w:eastAsia="宋体"/>
          <w:b w:val="0"/>
          <w:sz w:val="24"/>
        </w:rPr>
        <w:t>因素的相对重要性，最终通过特征向量计算得出各方案的优先级排序权重。</w:t>
      </w:r>
    </w:p>
    <w:p w14:paraId="671B7C22">
      <w:pPr>
        <w:spacing w:before="0" w:after="0" w:line="400" w:lineRule="exact"/>
        <w:ind w:firstLine="480"/>
        <w:jc w:val="both"/>
      </w:pPr>
      <w:r>
        <w:rPr>
          <w:rFonts w:ascii="Times New Roman" w:hAnsi="Times New Roman" w:eastAsia="宋体"/>
          <w:b w:val="0"/>
          <w:sz w:val="24"/>
        </w:rPr>
        <w:t>AHP的核心步骤包括：第一，构建决策问题的层次结构，明确目标、评价准则和备选方案之间的层级关系；第二，对同一层次中的各因素进行两两比较，构造判断矩阵，两两比较采用1-9标度法（1表示同等重要，9表示极端重要）；第三，计算判断矩阵的特征向量，归一化后得到该层次各因素的权重值；第四，进行一致性检验，计算一致性比率CR，当CR &lt; 0.10时判断矩阵通过一致性检验，否则需要修正判断矩阵中的赋值；第五，通过层次总排序得出各备选方案的综合优先级。</w:t>
      </w:r>
    </w:p>
    <w:p w14:paraId="23B06770">
      <w:pPr>
        <w:spacing w:before="0" w:after="0" w:line="400" w:lineRule="exact"/>
        <w:ind w:firstLine="480"/>
        <w:jc w:val="both"/>
        <w:rPr>
          <w:highlight w:val="yellow"/>
        </w:rPr>
      </w:pPr>
      <w:r>
        <w:rPr>
          <w:rFonts w:ascii="Times New Roman" w:hAnsi="Times New Roman" w:eastAsia="宋体"/>
          <w:b w:val="0"/>
          <w:sz w:val="24"/>
          <w:highlight w:val="yellow"/>
        </w:rPr>
        <w:t>网络层次分析法（ANP）是Saaty在AHP基础上进一步发展的方法，用于处理准则层内部或方案层内部存在相互依赖和反馈关系的复杂决策问题。由于本研究中的流程瓶颈评价在初始阶段可使用AHP方法进行独立评价，且AHP在实际管理应用中的可操作性更强（判断矩阵结构清晰、一致性检验直观），因此本研究优先采用AHP方法进行瓶颈优先级评价。</w:t>
      </w:r>
    </w:p>
    <w:p w14:paraId="67E2E445">
      <w:pPr>
        <w:spacing w:before="0" w:after="0" w:line="400" w:lineRule="exact"/>
        <w:ind w:firstLine="480"/>
        <w:jc w:val="both"/>
      </w:pPr>
      <w:r>
        <w:rPr>
          <w:rFonts w:ascii="Times New Roman" w:hAnsi="Times New Roman" w:eastAsia="宋体"/>
          <w:b w:val="0"/>
          <w:sz w:val="24"/>
        </w:rPr>
        <w:t>在国内医疗管理领域，AHP方法已被广泛应用于医疗质量评价、医院绩效评估和医疗资源配置优化等方面。</w:t>
      </w:r>
      <w:r>
        <w:rPr>
          <w:rFonts w:ascii="Times New Roman" w:hAnsi="Times New Roman" w:eastAsia="宋体"/>
          <w:b w:val="0"/>
          <w:sz w:val="24"/>
        </w:rPr>
        <w:t>但</w:t>
      </w:r>
      <w:r>
        <w:rPr>
          <w:rFonts w:hint="eastAsia" w:ascii="Times New Roman" w:hAnsi="Times New Roman"/>
          <w:b w:val="0"/>
          <w:sz w:val="24"/>
          <w:lang w:eastAsia="zh-CN"/>
        </w:rPr>
        <w:t>是</w:t>
      </w:r>
      <w:r>
        <w:rPr>
          <w:rFonts w:ascii="Times New Roman" w:hAnsi="Times New Roman" w:eastAsia="宋体"/>
          <w:b w:val="0"/>
          <w:sz w:val="24"/>
        </w:rPr>
        <w:t>将AHP与过程分析法相结合，用于互联网医院流程瓶颈的优先级评价，是本研究的一个方法论创新。</w:t>
      </w:r>
      <w:r>
        <w:rPr>
          <w:rFonts w:hint="eastAsia" w:ascii="Times New Roman" w:hAnsi="Times New Roman"/>
          <w:b w:val="0"/>
          <w:sz w:val="24"/>
          <w:lang w:val="en-US" w:eastAsia="zh-CN"/>
        </w:rPr>
        <w:t>两者</w:t>
      </w:r>
      <w:r>
        <w:rPr>
          <w:rFonts w:ascii="Times New Roman" w:hAnsi="Times New Roman" w:eastAsia="宋体"/>
          <w:b w:val="0"/>
          <w:sz w:val="24"/>
        </w:rPr>
        <w:t>结合的逻辑</w:t>
      </w:r>
      <w:r>
        <w:rPr>
          <w:rFonts w:hint="eastAsia" w:ascii="Times New Roman" w:hAnsi="Times New Roman"/>
          <w:b w:val="0"/>
          <w:sz w:val="24"/>
          <w:lang w:val="en-US" w:eastAsia="zh-CN"/>
        </w:rPr>
        <w:t>在于</w:t>
      </w:r>
      <w:r>
        <w:rPr>
          <w:rFonts w:ascii="Times New Roman" w:hAnsi="Times New Roman" w:eastAsia="宋体"/>
          <w:b w:val="0"/>
          <w:sz w:val="24"/>
        </w:rPr>
        <w:t>：过程分析法从客观数据中识别出"有哪些瓶颈"，AHP则提供一个系统性的框架来判断"应该先解决哪些瓶颈"。</w:t>
      </w:r>
    </w:p>
    <w:p w14:paraId="78896022">
      <w:pPr>
        <w:spacing w:before="240" w:after="120" w:line="240" w:lineRule="auto"/>
        <w:ind w:firstLine="520"/>
        <w:outlineLvl w:val="2"/>
      </w:pPr>
      <w:bookmarkStart w:id="23" w:name="_Toc12823"/>
      <w:r>
        <w:rPr>
          <w:rFonts w:ascii="Times New Roman" w:hAnsi="Times New Roman" w:eastAsia="黑体"/>
          <w:b/>
          <w:sz w:val="26"/>
        </w:rPr>
        <w:t>四、精益服务与六西格玛</w:t>
      </w:r>
      <w:bookmarkEnd w:id="23"/>
    </w:p>
    <w:p w14:paraId="12036DA2">
      <w:pPr>
        <w:spacing w:before="0" w:after="0" w:line="400" w:lineRule="exact"/>
        <w:ind w:firstLine="480"/>
        <w:jc w:val="both"/>
      </w:pPr>
      <w:r>
        <w:rPr>
          <w:rFonts w:ascii="Times New Roman" w:hAnsi="Times New Roman" w:eastAsia="宋体"/>
          <w:b w:val="0"/>
          <w:sz w:val="24"/>
        </w:rPr>
        <w:t>精益服务</w:t>
      </w:r>
      <w:r>
        <w:rPr>
          <w:rFonts w:ascii="Times New Roman" w:hAnsi="Times New Roman" w:eastAsia="宋体"/>
          <w:b w:val="0"/>
          <w:sz w:val="24"/>
        </w:rPr>
        <w:t>是将精益生产</w:t>
      </w:r>
      <w:r>
        <w:rPr>
          <w:rFonts w:ascii="Times New Roman" w:hAnsi="Times New Roman" w:eastAsia="宋体"/>
          <w:b w:val="0"/>
          <w:sz w:val="24"/>
        </w:rPr>
        <w:t>的核心原则——消除浪费、持续改进、以顾客价值为导向——应用于服务行业的运营管理方法。在医疗领域，精益医疗</w:t>
      </w:r>
      <w:r>
        <w:rPr>
          <w:rFonts w:ascii="Times New Roman" w:hAnsi="Times New Roman" w:eastAsia="宋体"/>
          <w:b w:val="0"/>
          <w:sz w:val="24"/>
        </w:rPr>
        <w:t>的实践已覆盖从门诊流程改善到手术室优化、从药品供应链管理到患者出院流程再造等多个方面。Henrique等（2016）针对医疗服务环境的特殊性，提出了一种适配医疗场景的价值流图（VSM）方法，并通过医院案例验证了精益工具在识别和消除医疗服务流程中非增值活动方面的显著效果。</w:t>
      </w:r>
    </w:p>
    <w:p w14:paraId="67B47013">
      <w:pPr>
        <w:spacing w:before="0" w:after="0" w:line="400" w:lineRule="exact"/>
        <w:ind w:firstLine="480"/>
        <w:jc w:val="both"/>
      </w:pPr>
      <w:r>
        <w:rPr>
          <w:rFonts w:ascii="Times New Roman" w:hAnsi="Times New Roman" w:eastAsia="宋体"/>
          <w:b w:val="0"/>
          <w:sz w:val="24"/>
        </w:rPr>
        <w:t>六西格玛</w:t>
      </w:r>
      <w:r>
        <w:rPr>
          <w:rFonts w:ascii="Times New Roman" w:hAnsi="Times New Roman" w:eastAsia="宋体"/>
          <w:b w:val="0"/>
          <w:sz w:val="24"/>
        </w:rPr>
        <w:t>是一种以数据为驱动的质量改进方法，其核心方法论DMAIC（定义、测量、分析、改进、控制）为流程改进提供了结构化的步骤框架。与精益方法强调"消除浪费"不同，六西格玛更侧重于"减少变异"，即通过统计分析方法识别流程中的波动源并加以控制。</w:t>
      </w:r>
    </w:p>
    <w:p w14:paraId="35DDA39F">
      <w:pPr>
        <w:spacing w:before="0" w:after="0" w:line="400" w:lineRule="exact"/>
        <w:ind w:firstLine="480"/>
        <w:jc w:val="both"/>
      </w:pPr>
      <w:r>
        <w:rPr>
          <w:rFonts w:ascii="Times New Roman" w:hAnsi="Times New Roman" w:eastAsia="宋体"/>
          <w:b w:val="0"/>
          <w:sz w:val="24"/>
        </w:rPr>
        <w:t>把两者优势合在一起的精益六西格玛</w:t>
      </w:r>
      <w:r>
        <w:rPr>
          <w:rFonts w:ascii="Times New Roman" w:hAnsi="Times New Roman" w:eastAsia="宋体"/>
          <w:b w:val="0"/>
          <w:sz w:val="24"/>
        </w:rPr>
        <w:t>，如今已是流程改进方法论的主流范式（Samanta等，2023）。不过它有一个</w:t>
      </w:r>
      <w:r>
        <w:rPr>
          <w:rFonts w:hint="eastAsia" w:ascii="Times New Roman" w:hAnsi="Times New Roman"/>
          <w:b w:val="0"/>
          <w:sz w:val="24"/>
          <w:lang w:val="en-US" w:eastAsia="zh-CN"/>
        </w:rPr>
        <w:t>局限性</w:t>
      </w:r>
      <w:r>
        <w:rPr>
          <w:rFonts w:ascii="Times New Roman" w:hAnsi="Times New Roman" w:eastAsia="宋体"/>
          <w:b w:val="0"/>
          <w:sz w:val="24"/>
        </w:rPr>
        <w:t>：流程诊断环节</w:t>
      </w:r>
      <w:r>
        <w:rPr>
          <w:rFonts w:hint="eastAsia" w:ascii="Times New Roman" w:hAnsi="Times New Roman"/>
          <w:b w:val="0"/>
          <w:sz w:val="24"/>
          <w:lang w:eastAsia="zh-CN"/>
        </w:rPr>
        <w:t>，</w:t>
      </w:r>
      <w:r>
        <w:rPr>
          <w:rFonts w:ascii="Times New Roman" w:hAnsi="Times New Roman" w:eastAsia="宋体"/>
          <w:b w:val="0"/>
          <w:sz w:val="24"/>
        </w:rPr>
        <w:t>尤其是"测量"和"分析"阶段</w:t>
      </w:r>
      <w:r>
        <w:rPr>
          <w:rFonts w:ascii="Times New Roman" w:hAnsi="Times New Roman" w:eastAsia="宋体"/>
          <w:b w:val="0"/>
          <w:sz w:val="24"/>
        </w:rPr>
        <w:t>主要靠人工观察、时间研究和主观访谈，放到流程复杂、数据量大、多场所协同的互联网医院场景里，效率明显跟不上。这正是本研究引入过程分析法的缘由：从海量事件日志中自动、客观地完成流程测量和初步诊断，后续的精益改进也因此有了更准的</w:t>
      </w:r>
      <w:r>
        <w:rPr>
          <w:rFonts w:hint="eastAsia" w:ascii="Times New Roman" w:hAnsi="Times New Roman"/>
          <w:b w:val="0"/>
          <w:sz w:val="24"/>
          <w:lang w:val="en-US" w:eastAsia="zh-CN"/>
        </w:rPr>
        <w:t>依据</w:t>
      </w:r>
      <w:r>
        <w:rPr>
          <w:rFonts w:ascii="Times New Roman" w:hAnsi="Times New Roman" w:eastAsia="宋体"/>
          <w:b w:val="0"/>
          <w:sz w:val="24"/>
        </w:rPr>
        <w:t>。</w:t>
      </w:r>
    </w:p>
    <w:p w14:paraId="3CEC074F">
      <w:pPr>
        <w:spacing w:before="240" w:after="120" w:line="240" w:lineRule="auto"/>
        <w:ind w:firstLine="520"/>
        <w:outlineLvl w:val="2"/>
      </w:pPr>
      <w:bookmarkStart w:id="24" w:name="_Toc30184"/>
      <w:r>
        <w:rPr>
          <w:rFonts w:ascii="Times New Roman" w:hAnsi="Times New Roman" w:eastAsia="黑体"/>
          <w:b/>
          <w:sz w:val="26"/>
        </w:rPr>
        <w:t>五、业务流程再造（BPR）</w:t>
      </w:r>
      <w:bookmarkEnd w:id="24"/>
    </w:p>
    <w:p w14:paraId="67F735E2">
      <w:pPr>
        <w:spacing w:before="0" w:after="0" w:line="400" w:lineRule="exact"/>
        <w:ind w:firstLine="480"/>
        <w:jc w:val="both"/>
      </w:pPr>
      <w:r>
        <w:rPr>
          <w:rFonts w:ascii="Times New Roman" w:hAnsi="Times New Roman" w:eastAsia="宋体"/>
          <w:b w:val="0"/>
          <w:sz w:val="24"/>
        </w:rPr>
        <w:t>业务流程再造（Business Process Reengineering，BPR）由Hammer和Champy于1993年提出，其核心主张是对业务流程进行"根本性的重新思考"和"彻底的重新设计"，以实现在成本、质量、服务和速度等关键绩效指标上的突破性改善。与传统渐进式改进（如TQM、Kaizen）不同，BPR倡导的是"推倒重来"式的流程革命。</w:t>
      </w:r>
    </w:p>
    <w:p w14:paraId="779C59A9">
      <w:pPr>
        <w:spacing w:before="0" w:after="0" w:line="400" w:lineRule="exact"/>
        <w:ind w:firstLine="480"/>
        <w:jc w:val="both"/>
      </w:pPr>
      <w:r>
        <w:rPr>
          <w:rFonts w:ascii="Times New Roman" w:hAnsi="Times New Roman" w:eastAsia="宋体"/>
          <w:b w:val="0"/>
          <w:sz w:val="24"/>
        </w:rPr>
        <w:t>BPR理论在引入医疗行业后经历了适应性的演变。医疗服务的特殊性——患者安全的不可妥协性、临床操作的专业自主性和医疗质量的不可逆性——使得纯粹的"推倒重来"式BPR在医疗领域难以完全适用。因此，医疗服务领域的流程改进更倾向于采用"改良式BPR"的路径，即在保持临床质量和安全底线的前提下，对非临床性的业务流程（如预约、登记、处方流转、药品配送等）进行系统性的优化再造。本研究在设计A医药集团互联网医院的流程优化方案时，正是遵循了这一原则</w:t>
      </w:r>
      <w:r>
        <w:rPr>
          <w:rFonts w:hint="eastAsia" w:ascii="Times New Roman" w:hAnsi="Times New Roman"/>
          <w:b w:val="0"/>
          <w:sz w:val="24"/>
          <w:lang w:eastAsia="zh-CN"/>
        </w:rPr>
        <w:t>，</w:t>
      </w:r>
      <w:r>
        <w:rPr>
          <w:rFonts w:ascii="Times New Roman" w:hAnsi="Times New Roman" w:eastAsia="宋体"/>
          <w:b w:val="0"/>
          <w:sz w:val="24"/>
        </w:rPr>
        <w:t>对线上线下衔接等非临床性流程进行系统性改造，而对临床诊疗决策本身保持充分尊重。</w:t>
      </w:r>
    </w:p>
    <w:p w14:paraId="78B7801B">
      <w:pPr>
        <w:spacing w:before="480" w:after="120" w:line="240" w:lineRule="auto"/>
        <w:jc w:val="center"/>
        <w:outlineLvl w:val="1"/>
      </w:pPr>
      <w:bookmarkStart w:id="25" w:name="_Toc8548"/>
      <w:r>
        <w:rPr>
          <w:rFonts w:ascii="Times New Roman" w:hAnsi="Times New Roman" w:eastAsia="黑体"/>
          <w:b/>
          <w:sz w:val="28"/>
        </w:rPr>
        <w:t>第三节　数字化转型理论</w:t>
      </w:r>
      <w:bookmarkEnd w:id="25"/>
    </w:p>
    <w:p w14:paraId="5B4A50B6">
      <w:pPr>
        <w:spacing w:before="240" w:after="120" w:line="240" w:lineRule="auto"/>
        <w:ind w:firstLine="520"/>
        <w:outlineLvl w:val="2"/>
      </w:pPr>
      <w:bookmarkStart w:id="26" w:name="_Toc469"/>
      <w:r>
        <w:rPr>
          <w:rFonts w:ascii="Times New Roman" w:hAnsi="Times New Roman" w:eastAsia="黑体"/>
          <w:b/>
          <w:sz w:val="26"/>
        </w:rPr>
        <w:t>一、数字化转型的概念与维度</w:t>
      </w:r>
      <w:bookmarkEnd w:id="26"/>
    </w:p>
    <w:p w14:paraId="07C15B9F">
      <w:pPr>
        <w:spacing w:before="0" w:after="0" w:line="400" w:lineRule="exact"/>
        <w:ind w:firstLine="480"/>
        <w:jc w:val="both"/>
      </w:pPr>
      <w:r>
        <w:rPr>
          <w:rFonts w:ascii="Times New Roman" w:hAnsi="Times New Roman" w:eastAsia="宋体"/>
          <w:b w:val="0"/>
          <w:sz w:val="24"/>
        </w:rPr>
        <w:t>数字化转型</w:t>
      </w:r>
      <w:r>
        <w:rPr>
          <w:rFonts w:ascii="Times New Roman" w:hAnsi="Times New Roman" w:eastAsia="宋体"/>
          <w:b w:val="0"/>
          <w:sz w:val="24"/>
        </w:rPr>
        <w:t>是指企业或组织通过深度应用数字技术（大数据、云计算、人工智能、物联网、区块链等），在业务流程、组织架构、价值创造模式和企业文化等多个维度实现根本性变革的过程。与简单的"数字化"（将模拟信息转化为数字格式）或"信息化"（利用IT系统提高现有业务流程的效率）不同，数字化转型强调的是对业务模式和组织能力的根本性重塑。</w:t>
      </w:r>
    </w:p>
    <w:p w14:paraId="0FCC3EBD">
      <w:pPr>
        <w:spacing w:before="0" w:after="0" w:line="400" w:lineRule="exact"/>
        <w:ind w:firstLine="480"/>
        <w:jc w:val="both"/>
      </w:pPr>
      <w:r>
        <w:rPr>
          <w:rFonts w:ascii="Times New Roman" w:hAnsi="Times New Roman" w:eastAsia="宋体"/>
          <w:b w:val="0"/>
          <w:sz w:val="24"/>
        </w:rPr>
        <w:t>从分析维度来看，数字化转型通常被解构为三个核心维度。技术维度关注数字技术的选型、集成和应用能力；组织维度关注组织架构、文化和能力如何适应数字化环境；业务维度关注价值创造模式和客户体验的重新定义。在医疗行业，数字化转型的"三维框架"同样适用：技术维度涵盖互联网医院平台、HIS系统、</w:t>
      </w:r>
      <w:r>
        <w:rPr>
          <w:rFonts w:hint="eastAsia" w:ascii="Times New Roman" w:hAnsi="Times New Roman"/>
          <w:b w:val="0"/>
          <w:sz w:val="24"/>
          <w:lang w:val="en-US" w:eastAsia="zh-CN"/>
        </w:rPr>
        <w:t>LIS</w:t>
      </w:r>
      <w:r>
        <w:rPr>
          <w:rFonts w:hint="eastAsia" w:ascii="Times New Roman" w:hAnsi="Times New Roman"/>
          <w:b w:val="0"/>
          <w:sz w:val="24"/>
          <w:lang w:val="en-US" w:eastAsia="zh-CN"/>
        </w:rPr>
        <w:t>系统、</w:t>
      </w:r>
      <w:r>
        <w:rPr>
          <w:rFonts w:hint="eastAsia" w:ascii="Times New Roman" w:hAnsi="Times New Roman"/>
          <w:b w:val="0"/>
          <w:sz w:val="24"/>
          <w:lang w:val="en-US" w:eastAsia="zh-CN"/>
        </w:rPr>
        <w:t>PACS</w:t>
      </w:r>
      <w:r>
        <w:rPr>
          <w:rFonts w:hint="eastAsia" w:ascii="Times New Roman" w:hAnsi="Times New Roman"/>
          <w:b w:val="0"/>
          <w:sz w:val="24"/>
          <w:lang w:val="en-US" w:eastAsia="zh-CN"/>
        </w:rPr>
        <w:t>系统</w:t>
      </w:r>
      <w:r>
        <w:rPr>
          <w:rFonts w:hint="eastAsia" w:ascii="Times New Roman" w:hAnsi="Times New Roman"/>
          <w:b w:val="0"/>
          <w:sz w:val="24"/>
          <w:lang w:val="en-US" w:eastAsia="zh-CN"/>
        </w:rPr>
        <w:t>、</w:t>
      </w:r>
      <w:r>
        <w:rPr>
          <w:rFonts w:hint="eastAsia" w:ascii="Times New Roman" w:hAnsi="Times New Roman"/>
          <w:b w:val="0"/>
          <w:sz w:val="24"/>
          <w:lang w:val="en-US" w:eastAsia="zh-CN"/>
        </w:rPr>
        <w:t>EMR</w:t>
      </w:r>
      <w:r>
        <w:rPr>
          <w:rFonts w:hint="eastAsia" w:ascii="Times New Roman" w:hAnsi="Times New Roman"/>
          <w:b w:val="0"/>
          <w:sz w:val="24"/>
          <w:lang w:val="en-US" w:eastAsia="zh-CN"/>
        </w:rPr>
        <w:t>系统、</w:t>
      </w:r>
      <w:r>
        <w:rPr>
          <w:rFonts w:ascii="Times New Roman" w:hAnsi="Times New Roman" w:eastAsia="宋体"/>
          <w:b w:val="0"/>
          <w:sz w:val="24"/>
        </w:rPr>
        <w:t>AI辅助诊疗系统等；组织维度涵盖医疗集团的管理架构、多院区协同机制和数字化人才的培养；业务维度涵盖在线问诊、处方流转、慢病管理等新型医疗服务模式的设计和运营。</w:t>
      </w:r>
    </w:p>
    <w:p w14:paraId="412F21BA">
      <w:pPr>
        <w:spacing w:before="240" w:after="120" w:line="240" w:lineRule="auto"/>
        <w:ind w:firstLine="520"/>
        <w:outlineLvl w:val="2"/>
      </w:pPr>
      <w:bookmarkStart w:id="27" w:name="_Toc8386"/>
      <w:r>
        <w:rPr>
          <w:rFonts w:ascii="Times New Roman" w:hAnsi="Times New Roman" w:eastAsia="黑体"/>
          <w:b/>
          <w:sz w:val="26"/>
        </w:rPr>
        <w:t>二、医疗行业数字化转型路径</w:t>
      </w:r>
      <w:bookmarkEnd w:id="27"/>
    </w:p>
    <w:p w14:paraId="69AD256A">
      <w:pPr>
        <w:spacing w:before="0" w:after="0" w:line="400" w:lineRule="exact"/>
        <w:ind w:firstLine="480"/>
        <w:jc w:val="both"/>
      </w:pPr>
      <w:r>
        <w:rPr>
          <w:rFonts w:ascii="Times New Roman" w:hAnsi="Times New Roman" w:eastAsia="宋体"/>
          <w:b w:val="0"/>
          <w:sz w:val="24"/>
        </w:rPr>
        <w:t>医疗行业的数字化转型有自己的</w:t>
      </w:r>
      <w:r>
        <w:rPr>
          <w:rFonts w:hint="eastAsia" w:ascii="Times New Roman" w:hAnsi="Times New Roman"/>
          <w:b w:val="0"/>
          <w:sz w:val="24"/>
          <w:lang w:val="en-US" w:eastAsia="zh-CN"/>
        </w:rPr>
        <w:t>特殊性</w:t>
      </w:r>
      <w:r>
        <w:rPr>
          <w:rFonts w:hint="eastAsia" w:ascii="Times New Roman" w:hAnsi="Times New Roman"/>
          <w:b w:val="0"/>
          <w:sz w:val="24"/>
          <w:lang w:val="en-US" w:eastAsia="zh-CN"/>
        </w:rPr>
        <w:t>和</w:t>
      </w:r>
      <w:r>
        <w:rPr>
          <w:rFonts w:hint="eastAsia" w:ascii="Times New Roman" w:hAnsi="Times New Roman"/>
          <w:b w:val="0"/>
          <w:sz w:val="24"/>
          <w:lang w:val="en-US" w:eastAsia="zh-CN"/>
        </w:rPr>
        <w:t>复杂性</w:t>
      </w:r>
      <w:r>
        <w:rPr>
          <w:rFonts w:hint="eastAsia" w:ascii="Times New Roman" w:hAnsi="Times New Roman"/>
          <w:b w:val="0"/>
          <w:sz w:val="24"/>
          <w:lang w:eastAsia="zh-CN"/>
        </w:rPr>
        <w:t>：</w:t>
      </w:r>
      <w:r>
        <w:rPr>
          <w:rFonts w:ascii="Times New Roman" w:hAnsi="Times New Roman" w:eastAsia="宋体"/>
          <w:b w:val="0"/>
          <w:sz w:val="24"/>
        </w:rPr>
        <w:t>数据敏感——涉及患者隐私；风险高——诊疗错误后果不可逆；监管严——行业准入、医保控费层层约束。这三条叠加，决定了它不能照搬零售、金融等行业的数字化路径。</w:t>
      </w:r>
    </w:p>
    <w:p w14:paraId="1AB3DA61">
      <w:pPr>
        <w:spacing w:before="0" w:after="0" w:line="400" w:lineRule="exact"/>
        <w:ind w:firstLine="480"/>
        <w:jc w:val="both"/>
      </w:pPr>
      <w:r>
        <w:rPr>
          <w:rFonts w:ascii="Times New Roman" w:hAnsi="Times New Roman" w:eastAsia="宋体"/>
          <w:b w:val="0"/>
          <w:sz w:val="24"/>
        </w:rPr>
        <w:t>姚瑶等（2025）把我国医疗卫生数字化转型的障碍归到三个层面。技术上，不同医疗机构的信息系统缺乏统一的数据标准，信息孤岛问题突出；组织上，机构内部的转型动力不足，既懂医疗又懂技术的复合型人才稀缺；制度上，在线医疗服务的定价、医保支付和质量监管，制度建设都落后于实践的脚步。</w:t>
      </w:r>
    </w:p>
    <w:p w14:paraId="691224EF">
      <w:pPr>
        <w:spacing w:before="0" w:after="0" w:line="400" w:lineRule="exact"/>
        <w:ind w:firstLine="480"/>
        <w:jc w:val="both"/>
      </w:pPr>
      <w:r>
        <w:rPr>
          <w:rFonts w:ascii="Times New Roman" w:hAnsi="Times New Roman" w:eastAsia="宋体"/>
          <w:b w:val="0"/>
          <w:sz w:val="24"/>
        </w:rPr>
        <w:t>Kraus等（2021）对医疗领域数字化转型研究所作的系统综述为该领域提供了整体性的研究图景：既有文献围绕医疗机构运营效率、以患者为中心的服务方法、组织因素与管理启示、人力资源实践和社会经济影响五</w:t>
      </w:r>
      <w:r>
        <w:rPr>
          <w:rFonts w:hint="eastAsia" w:ascii="Times New Roman" w:hAnsi="Times New Roman"/>
          <w:b w:val="0"/>
          <w:sz w:val="24"/>
          <w:lang w:val="en-US" w:eastAsia="zh-CN"/>
        </w:rPr>
        <w:t>大主题</w:t>
      </w:r>
      <w:r>
        <w:rPr>
          <w:rFonts w:ascii="Times New Roman" w:hAnsi="Times New Roman" w:eastAsia="宋体"/>
          <w:b w:val="0"/>
          <w:sz w:val="24"/>
        </w:rPr>
        <w:t>展开，表明数字化转型的成效取决于技术实施与组织、管理变革的协同程度。对照这一研究图景，A医药集团互联网医院当前大致处于"已完成</w:t>
      </w:r>
      <w:r>
        <w:rPr>
          <w:rFonts w:hint="eastAsia" w:ascii="Times New Roman" w:hAnsi="Times New Roman"/>
          <w:b w:val="0"/>
          <w:sz w:val="24"/>
          <w:lang w:val="en-US" w:eastAsia="zh-CN"/>
        </w:rPr>
        <w:t>互联网</w:t>
      </w:r>
      <w:r>
        <w:rPr>
          <w:rFonts w:hint="eastAsia" w:ascii="Times New Roman" w:hAnsi="Times New Roman"/>
          <w:b w:val="0"/>
          <w:sz w:val="24"/>
          <w:lang w:val="en-US" w:eastAsia="zh-CN"/>
        </w:rPr>
        <w:t>医院</w:t>
      </w:r>
      <w:r>
        <w:rPr>
          <w:rFonts w:ascii="Times New Roman" w:hAnsi="Times New Roman" w:eastAsia="宋体"/>
          <w:b w:val="0"/>
          <w:sz w:val="24"/>
        </w:rPr>
        <w:t>统一平台的基础建设、组织协同与数据利用有待深化"的阶段，在数据互通、流程标准化和智能化应用方面仍有较大的提升空间。Marques与Ferreira（2020）对医疗健康领域数字化转型研究45年演进历程的系统回顾亦表明，该领域已从早期医疗信息系统的应用研究，逐步演进为涵盖技术、组织与业务流程多维度的系统性变革研究，与上述研究图景相互印证。</w:t>
      </w:r>
    </w:p>
    <w:p w14:paraId="07CE43C0">
      <w:pPr>
        <w:spacing w:before="0" w:after="0" w:line="400" w:lineRule="exact"/>
        <w:ind w:firstLine="480"/>
        <w:jc w:val="both"/>
      </w:pPr>
      <w:r>
        <w:rPr>
          <w:rFonts w:ascii="Times New Roman" w:hAnsi="Times New Roman" w:eastAsia="宋体"/>
          <w:b w:val="0"/>
          <w:sz w:val="24"/>
        </w:rPr>
        <w:t>再看</w:t>
      </w:r>
      <w:r>
        <w:rPr>
          <w:rFonts w:hint="eastAsia" w:ascii="Times New Roman" w:hAnsi="Times New Roman"/>
          <w:b w:val="0"/>
          <w:sz w:val="24"/>
          <w:lang w:val="en-US" w:eastAsia="zh-CN"/>
        </w:rPr>
        <w:t>多机构</w:t>
      </w:r>
      <w:r>
        <w:rPr>
          <w:rFonts w:ascii="Times New Roman" w:hAnsi="Times New Roman" w:eastAsia="宋体"/>
          <w:b w:val="0"/>
          <w:sz w:val="24"/>
        </w:rPr>
        <w:t>协同这个变量。谭华伟等（2024）对中国紧密型城市医疗集团建设的研究指出，多机构协同是医疗集团数字化转型面临的最大挑战之一。信息系统的异构性、管理标准的差异性和利益分配的复杂性，是制约多院区协同的三大障碍因素。牛雨婷等（2024）从协同视角出发，分析了城市医疗集团高质量发展的挑战，指出协同的关键不仅在于技术层面的系统对接，更在于管理层面的机制设计和组织层面的文化融合。李哲和任亮（2025）基于共生模式理论，对国家级试点区域紧密型城市医疗集团的发展进行了案例研究，提出了"共生单元—共生环境—共生模式"的三维分析框架，为理解多院区互联网医院的协同演化提供了理论视角。</w:t>
      </w:r>
    </w:p>
    <w:p w14:paraId="6E22F0E2">
      <w:pPr>
        <w:spacing w:before="480" w:after="120" w:line="240" w:lineRule="auto"/>
        <w:jc w:val="center"/>
        <w:outlineLvl w:val="1"/>
      </w:pPr>
      <w:bookmarkStart w:id="28" w:name="_Toc2158"/>
      <w:r>
        <w:rPr>
          <w:rFonts w:ascii="Times New Roman" w:hAnsi="Times New Roman" w:eastAsia="黑体"/>
          <w:b/>
          <w:sz w:val="28"/>
        </w:rPr>
        <w:t>第四节　文献评述与研究缺口定位</w:t>
      </w:r>
      <w:bookmarkEnd w:id="28"/>
    </w:p>
    <w:p w14:paraId="092C3387">
      <w:pPr>
        <w:spacing w:before="240" w:after="120" w:line="240" w:lineRule="auto"/>
        <w:ind w:firstLine="520"/>
        <w:outlineLvl w:val="2"/>
      </w:pPr>
      <w:bookmarkStart w:id="29" w:name="_Toc13445"/>
      <w:r>
        <w:rPr>
          <w:rFonts w:ascii="Times New Roman" w:hAnsi="Times New Roman" w:eastAsia="黑体"/>
          <w:b/>
          <w:sz w:val="26"/>
        </w:rPr>
        <w:t>一、现有研究的贡献</w:t>
      </w:r>
      <w:bookmarkEnd w:id="29"/>
    </w:p>
    <w:p w14:paraId="0812407B">
      <w:pPr>
        <w:spacing w:before="0" w:after="0" w:line="400" w:lineRule="exact"/>
        <w:ind w:firstLine="480"/>
        <w:jc w:val="both"/>
      </w:pPr>
      <w:r>
        <w:rPr>
          <w:rFonts w:hint="eastAsia" w:ascii="Times New Roman" w:hAnsi="Times New Roman"/>
          <w:b w:val="0"/>
          <w:sz w:val="24"/>
          <w:lang w:val="en-US" w:eastAsia="zh-CN"/>
        </w:rPr>
        <w:t>综上所述</w:t>
      </w:r>
      <w:r>
        <w:rPr>
          <w:rFonts w:ascii="Times New Roman" w:hAnsi="Times New Roman" w:eastAsia="宋体"/>
          <w:b w:val="0"/>
          <w:sz w:val="24"/>
        </w:rPr>
        <w:t>，</w:t>
      </w:r>
      <w:r>
        <w:rPr>
          <w:rFonts w:ascii="Times New Roman" w:hAnsi="Times New Roman" w:eastAsia="宋体"/>
          <w:b w:val="0"/>
          <w:sz w:val="24"/>
        </w:rPr>
        <w:t>现有文献在以下几个方面为本文的研究奠定了良好的理论基础。</w:t>
      </w:r>
    </w:p>
    <w:p w14:paraId="3078BD12">
      <w:pPr>
        <w:spacing w:before="0" w:after="0" w:line="400" w:lineRule="exact"/>
        <w:ind w:firstLine="480"/>
        <w:jc w:val="both"/>
      </w:pPr>
      <w:r>
        <w:rPr>
          <w:rFonts w:hint="eastAsia" w:ascii="Times New Roman" w:hAnsi="Times New Roman"/>
          <w:b w:val="0"/>
          <w:sz w:val="24"/>
          <w:lang w:val="en-US" w:eastAsia="zh-CN"/>
        </w:rPr>
        <w:t>第一</w:t>
      </w:r>
      <w:r>
        <w:rPr>
          <w:rFonts w:hint="eastAsia" w:ascii="Times New Roman" w:hAnsi="Times New Roman"/>
          <w:b w:val="0"/>
          <w:sz w:val="24"/>
          <w:lang w:val="en-US" w:eastAsia="zh-CN"/>
        </w:rPr>
        <w:t>、</w:t>
      </w:r>
      <w:r>
        <w:rPr>
          <w:rFonts w:ascii="Times New Roman" w:hAnsi="Times New Roman" w:eastAsia="宋体"/>
          <w:b w:val="0"/>
          <w:sz w:val="24"/>
        </w:rPr>
        <w:t>互联网医院的概念、运营模式与发展趋势已得到较充分的研究，国内学者近年对公立医院互联网诊疗的现状与问题做了深入的实证分析（公雪，郭蕊，2025；张宇希，胡建平，2024；尹建昭等，2025），本研究的案例背景分析因此有翔实的资料可依。</w:t>
      </w:r>
    </w:p>
    <w:p w14:paraId="0ED889E9">
      <w:pPr>
        <w:spacing w:before="0" w:after="0" w:line="400" w:lineRule="exact"/>
        <w:ind w:firstLine="480"/>
        <w:jc w:val="both"/>
      </w:pPr>
      <w:r>
        <w:rPr>
          <w:rFonts w:hint="eastAsia" w:ascii="Times New Roman" w:hAnsi="Times New Roman"/>
          <w:b w:val="0"/>
          <w:sz w:val="24"/>
          <w:lang w:val="en-US" w:eastAsia="zh-CN"/>
        </w:rPr>
        <w:t>第二</w:t>
      </w:r>
      <w:r>
        <w:rPr>
          <w:rFonts w:hint="eastAsia" w:ascii="Times New Roman" w:hAnsi="Times New Roman"/>
          <w:b w:val="0"/>
          <w:sz w:val="24"/>
          <w:lang w:val="en-US" w:eastAsia="zh-CN"/>
        </w:rPr>
        <w:t>、</w:t>
      </w:r>
      <w:r>
        <w:rPr>
          <w:rFonts w:ascii="Times New Roman" w:hAnsi="Times New Roman" w:eastAsia="宋体"/>
          <w:b w:val="0"/>
          <w:sz w:val="24"/>
        </w:rPr>
        <w:t>方法</w:t>
      </w:r>
      <w:r>
        <w:rPr>
          <w:rFonts w:hint="eastAsia" w:ascii="Times New Roman" w:hAnsi="Times New Roman"/>
          <w:b w:val="0"/>
          <w:sz w:val="24"/>
          <w:lang w:val="en-US" w:eastAsia="zh-CN"/>
        </w:rPr>
        <w:t>论</w:t>
      </w:r>
      <w:r>
        <w:rPr>
          <w:rFonts w:hint="eastAsia" w:ascii="Times New Roman" w:hAnsi="Times New Roman"/>
          <w:b w:val="0"/>
          <w:sz w:val="24"/>
          <w:lang w:val="en-US" w:eastAsia="zh-CN"/>
        </w:rPr>
        <w:t>和</w:t>
      </w:r>
      <w:r>
        <w:rPr>
          <w:rFonts w:ascii="Times New Roman" w:hAnsi="Times New Roman" w:eastAsia="宋体"/>
          <w:b w:val="0"/>
          <w:sz w:val="24"/>
        </w:rPr>
        <w:t>工具箱也基本齐备。服务蓝图、过程分析法、AHP、精益服务和BPR，各有各的成熟理论和应用案例。过程分析法作为数据驱动的流程诊断工具，方法论基础——事件日志的数据要求、流程发现算法、一致性检查——已经相当完善</w:t>
      </w:r>
      <w:r>
        <w:rPr>
          <w:rFonts w:ascii="Times New Roman" w:hAnsi="Times New Roman" w:eastAsia="宋体"/>
          <w:b w:val="0"/>
          <w:sz w:val="24"/>
        </w:rPr>
        <w:t>，在医疗领域的应用也在稳步拓展</w:t>
      </w:r>
      <w:r>
        <w:rPr>
          <w:rFonts w:ascii="Times New Roman" w:hAnsi="Times New Roman" w:eastAsia="宋体"/>
          <w:b w:val="0"/>
          <w:sz w:val="24"/>
        </w:rPr>
        <w:t>。</w:t>
      </w:r>
    </w:p>
    <w:p w14:paraId="06D40774">
      <w:pPr>
        <w:spacing w:before="0" w:after="0" w:line="400" w:lineRule="exact"/>
        <w:ind w:firstLine="480"/>
        <w:jc w:val="both"/>
      </w:pPr>
      <w:r>
        <w:rPr>
          <w:rFonts w:hint="eastAsia" w:ascii="Times New Roman" w:hAnsi="Times New Roman"/>
          <w:b w:val="0"/>
          <w:sz w:val="24"/>
          <w:lang w:val="en-US" w:eastAsia="zh-CN"/>
        </w:rPr>
        <w:t>第三</w:t>
      </w:r>
      <w:r>
        <w:rPr>
          <w:rFonts w:hint="eastAsia" w:ascii="Times New Roman" w:hAnsi="Times New Roman"/>
          <w:b w:val="0"/>
          <w:sz w:val="24"/>
          <w:lang w:val="en-US" w:eastAsia="zh-CN"/>
        </w:rPr>
        <w:t>、</w:t>
      </w:r>
      <w:r>
        <w:rPr>
          <w:rFonts w:ascii="Times New Roman" w:hAnsi="Times New Roman" w:eastAsia="宋体"/>
          <w:b w:val="0"/>
          <w:sz w:val="24"/>
        </w:rPr>
        <w:t>医疗行业的数字化转型路径与面临的挑战已有初步探讨（姚瑶等，2025；Kraus等，2021），医疗集团</w:t>
      </w:r>
      <w:r>
        <w:rPr>
          <w:rFonts w:hint="eastAsia" w:ascii="Times New Roman" w:hAnsi="Times New Roman"/>
          <w:b w:val="0"/>
          <w:sz w:val="24"/>
          <w:lang w:val="en-US" w:eastAsia="zh-CN"/>
        </w:rPr>
        <w:t>多机构</w:t>
      </w:r>
      <w:r>
        <w:rPr>
          <w:rFonts w:ascii="Times New Roman" w:hAnsi="Times New Roman" w:eastAsia="宋体"/>
          <w:b w:val="0"/>
          <w:sz w:val="24"/>
        </w:rPr>
        <w:t>多院区协同管理的问题近年尤其受到关注（谭华伟等，2024；牛雨婷等，2024；靳巍巍等，2025）。国际学术语境中，整合医疗（integrated care）研究为理解多机构、多层级医疗服务的协同提供了长期的概念框架（Kodner, Spreeuwenberg, 2002），并从系统、组织与服务等多个层面界定了整合的实现程度（Goodwin, 2016），本文的多院区协同分析由此获得国际对话的基础。</w:t>
      </w:r>
    </w:p>
    <w:p w14:paraId="4879E7A2">
      <w:pPr>
        <w:spacing w:before="0" w:after="0" w:line="400" w:lineRule="exact"/>
        <w:ind w:firstLine="480"/>
        <w:jc w:val="both"/>
      </w:pPr>
      <w:r>
        <w:rPr>
          <w:rFonts w:hint="eastAsia" w:ascii="Times New Roman" w:hAnsi="Times New Roman"/>
          <w:b w:val="0"/>
          <w:sz w:val="24"/>
          <w:lang w:val="en-US" w:eastAsia="zh-CN"/>
        </w:rPr>
        <w:t>第四</w:t>
      </w:r>
      <w:r>
        <w:rPr>
          <w:rFonts w:hint="eastAsia" w:ascii="Times New Roman" w:hAnsi="Times New Roman"/>
          <w:b w:val="0"/>
          <w:sz w:val="24"/>
          <w:lang w:val="en-US" w:eastAsia="zh-CN"/>
        </w:rPr>
        <w:t>、</w:t>
      </w:r>
      <w:r>
        <w:rPr>
          <w:rFonts w:ascii="Times New Roman" w:hAnsi="Times New Roman" w:eastAsia="宋体"/>
          <w:b w:val="0"/>
          <w:sz w:val="24"/>
        </w:rPr>
        <w:t>医疗信息化平台的技术实现路径同样有成熟成果：尹建昭等（2025）系统论述了"互联网+智慧医疗"的医院信息化平台建设策略，范一丁等（2025）展示了AI技术在智慧护理中的创新应用场景，本文的技术方案讨论可以从中找到案例参照。</w:t>
      </w:r>
    </w:p>
    <w:p w14:paraId="460CBBA1">
      <w:pPr>
        <w:spacing w:before="240" w:after="120" w:line="240" w:lineRule="auto"/>
        <w:ind w:firstLine="520"/>
        <w:outlineLvl w:val="2"/>
      </w:pPr>
      <w:bookmarkStart w:id="30" w:name="_Toc13725"/>
      <w:r>
        <w:rPr>
          <w:rFonts w:ascii="Times New Roman" w:hAnsi="Times New Roman" w:eastAsia="黑体"/>
          <w:b/>
          <w:sz w:val="26"/>
        </w:rPr>
        <w:t>二、研究缺口与本文定位</w:t>
      </w:r>
      <w:bookmarkEnd w:id="30"/>
    </w:p>
    <w:p w14:paraId="74FA1B43">
      <w:pPr>
        <w:jc w:val="center"/>
      </w:pPr>
      <w:r>
        <w:drawing>
          <wp:inline distT="0" distB="0" distL="114300" distR="114300">
            <wp:extent cx="5039995" cy="2519680"/>
            <wp:effectExtent l="0" t="0" r="1333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4"/>
                    <a:stretch>
                      <a:fillRect/>
                    </a:stretch>
                  </pic:blipFill>
                  <pic:spPr>
                    <a:xfrm>
                      <a:off x="0" y="0"/>
                      <a:ext cx="5040000" cy="2520000"/>
                    </a:xfrm>
                    <a:prstGeom prst="rect">
                      <a:avLst/>
                    </a:prstGeom>
                  </pic:spPr>
                </pic:pic>
              </a:graphicData>
            </a:graphic>
          </wp:inline>
        </w:drawing>
      </w:r>
    </w:p>
    <w:p w14:paraId="729BF899">
      <w:pPr>
        <w:spacing w:before="0" w:after="0" w:line="400" w:lineRule="exact"/>
        <w:ind w:firstLine="480"/>
        <w:jc w:val="both"/>
      </w:pPr>
      <w:r>
        <w:rPr>
          <w:rFonts w:ascii="Times New Roman" w:hAnsi="Times New Roman" w:eastAsia="宋体"/>
          <w:b w:val="0"/>
          <w:sz w:val="24"/>
        </w:rPr>
        <w:t>图2.3 研究缺口定位</w:t>
      </w:r>
    </w:p>
    <w:p w14:paraId="35E52427">
      <w:pPr>
        <w:spacing w:before="0" w:after="0" w:line="400" w:lineRule="exact"/>
        <w:ind w:firstLine="420"/>
        <w:rPr/>
      </w:pPr>
      <w:r>
        <w:rPr>
          <w:rFonts w:ascii="Times New Roman" w:hAnsi="Times New Roman" w:eastAsia="宋体"/>
          <w:b w:val="0"/>
          <w:sz w:val="24"/>
        </w:rPr>
        <w:t>尽管现有研究取得了丰富的成果，但仍存在以下三个重要的研究缺口，本文正是围绕这些缺口展开研究的。</w:t>
      </w:r>
    </w:p>
    <w:p w14:paraId="43272F92">
      <w:pPr>
        <w:spacing w:before="0" w:after="0" w:line="400" w:lineRule="exact"/>
        <w:ind w:firstLine="480"/>
        <w:jc w:val="both"/>
        <w:rPr/>
      </w:pPr>
    </w:p>
    <w:p w14:paraId="6BCD019A">
      <w:pPr>
        <w:spacing w:before="0" w:after="0" w:line="400" w:lineRule="exact"/>
        <w:ind w:firstLine="480"/>
        <w:jc w:val="both"/>
      </w:pPr>
      <w:r>
        <w:rPr>
          <w:rFonts w:ascii="Times New Roman" w:hAnsi="Times New Roman" w:eastAsia="宋体"/>
          <w:b w:val="0"/>
          <w:sz w:val="24"/>
        </w:rPr>
        <w:t>第一个研究缺口是方法论层面。</w:t>
      </w:r>
      <w:r>
        <w:rPr>
          <w:rFonts w:ascii="Times New Roman" w:hAnsi="Times New Roman" w:eastAsia="宋体"/>
          <w:b w:val="0"/>
          <w:sz w:val="24"/>
        </w:rPr>
        <w:t>传统的医疗服务流程优化研究，诊断环节主要靠经验判断和定性分析——专家访谈、焦点小组、问卷调查，精确性和客观性都打了折扣。过程分析法在其他行业早已广泛使用，落到互联网医院服务流程</w:t>
      </w:r>
      <w:r>
        <w:rPr>
          <w:rFonts w:hint="eastAsia" w:ascii="Times New Roman" w:hAnsi="Times New Roman"/>
          <w:b w:val="0"/>
          <w:sz w:val="24"/>
          <w:lang w:eastAsia="zh-CN"/>
        </w:rPr>
        <w:t>，</w:t>
      </w:r>
      <w:r>
        <w:rPr>
          <w:rFonts w:ascii="Times New Roman" w:hAnsi="Times New Roman" w:eastAsia="宋体"/>
          <w:b w:val="0"/>
          <w:sz w:val="24"/>
        </w:rPr>
        <w:t>尤其是线上线下融合的复合流程</w:t>
      </w:r>
      <w:r>
        <w:rPr>
          <w:rFonts w:ascii="Times New Roman" w:hAnsi="Times New Roman" w:eastAsia="宋体"/>
          <w:b w:val="0"/>
          <w:sz w:val="24"/>
        </w:rPr>
        <w:t>的应用研究却还</w:t>
      </w:r>
      <w:r>
        <w:rPr>
          <w:rFonts w:hint="eastAsia" w:ascii="Times New Roman" w:hAnsi="Times New Roman"/>
          <w:b w:val="0"/>
          <w:sz w:val="24"/>
          <w:lang w:val="en-US" w:eastAsia="zh-CN"/>
        </w:rPr>
        <w:t>略显</w:t>
      </w:r>
      <w:r>
        <w:rPr>
          <w:rFonts w:ascii="Times New Roman" w:hAnsi="Times New Roman" w:eastAsia="宋体"/>
          <w:b w:val="0"/>
          <w:sz w:val="24"/>
        </w:rPr>
        <w:t>单薄。本文把它引入流程诊断环节，让一千余万条事件日志替流程运行说话，把流程优化从"经验驱动"推向"数据驱动"；同时把AHP与过程分析法拼在一起，一个负责识别瓶颈，一个负责给瓶颈排序，</w:t>
      </w:r>
      <w:r>
        <w:rPr>
          <w:rFonts w:hint="eastAsia" w:ascii="Times New Roman" w:hAnsi="Times New Roman"/>
          <w:b w:val="0"/>
          <w:sz w:val="24"/>
          <w:lang w:val="en-US" w:eastAsia="zh-CN"/>
        </w:rPr>
        <w:t>形成了</w:t>
      </w:r>
      <w:r>
        <w:rPr>
          <w:rFonts w:ascii="Times New Roman" w:hAnsi="Times New Roman" w:eastAsia="宋体"/>
          <w:b w:val="0"/>
          <w:sz w:val="24"/>
        </w:rPr>
        <w:t>"诊断→评价→优化→验证"的</w:t>
      </w:r>
      <w:r>
        <w:rPr>
          <w:rFonts w:hint="eastAsia" w:ascii="Times New Roman" w:hAnsi="Times New Roman"/>
          <w:b w:val="0"/>
          <w:sz w:val="24"/>
          <w:lang w:val="en-US" w:eastAsia="zh-CN"/>
        </w:rPr>
        <w:t>完整</w:t>
      </w:r>
      <w:r>
        <w:rPr>
          <w:rFonts w:ascii="Times New Roman" w:hAnsi="Times New Roman" w:eastAsia="宋体"/>
          <w:b w:val="0"/>
          <w:sz w:val="24"/>
        </w:rPr>
        <w:t>方法论闭环</w:t>
      </w:r>
      <w:r>
        <w:rPr>
          <w:rFonts w:ascii="Times New Roman" w:hAnsi="Times New Roman" w:eastAsia="宋体"/>
          <w:b w:val="0"/>
          <w:sz w:val="24"/>
        </w:rPr>
        <w:t>。</w:t>
      </w:r>
    </w:p>
    <w:p w14:paraId="532ECD66">
      <w:pPr>
        <w:spacing w:before="0" w:after="0" w:line="400" w:lineRule="exact"/>
        <w:ind w:firstLine="480"/>
        <w:jc w:val="both"/>
      </w:pPr>
      <w:r>
        <w:rPr>
          <w:rFonts w:ascii="Times New Roman" w:hAnsi="Times New Roman" w:eastAsia="宋体"/>
          <w:b w:val="0"/>
          <w:sz w:val="24"/>
        </w:rPr>
        <w:t>第二个研究缺口是实践场景层面。</w:t>
      </w:r>
      <w:r>
        <w:rPr>
          <w:rFonts w:ascii="Times New Roman" w:hAnsi="Times New Roman" w:eastAsia="宋体"/>
          <w:b w:val="0"/>
          <w:sz w:val="24"/>
        </w:rPr>
        <w:t>现有研究多聚焦</w:t>
      </w:r>
      <w:r>
        <w:rPr>
          <w:rFonts w:hint="eastAsia" w:ascii="Times New Roman" w:hAnsi="Times New Roman"/>
          <w:b w:val="0"/>
          <w:sz w:val="24"/>
          <w:lang w:val="en-US" w:eastAsia="zh-CN"/>
        </w:rPr>
        <w:t>于</w:t>
      </w:r>
      <w:r>
        <w:rPr>
          <w:rFonts w:ascii="Times New Roman" w:hAnsi="Times New Roman" w:eastAsia="宋体"/>
          <w:b w:val="0"/>
          <w:sz w:val="24"/>
        </w:rPr>
        <w:t>单一医院的流程优化，多院区协同场景的讨论明显不足。互联网医院放到医药集团的多院区格局里，问题要复杂得多：院区之间信息系统异构、服务标准不一、资源分配不均，</w:t>
      </w:r>
      <w:r>
        <w:rPr>
          <w:rFonts w:ascii="Times New Roman" w:hAnsi="Times New Roman" w:eastAsia="宋体"/>
          <w:b w:val="0"/>
          <w:sz w:val="24"/>
        </w:rPr>
        <w:t>都对流程优化提出了额外的挑战。</w:t>
      </w:r>
      <w:r>
        <w:rPr>
          <w:rFonts w:ascii="Times New Roman" w:hAnsi="Times New Roman" w:eastAsia="宋体"/>
          <w:b w:val="0"/>
          <w:sz w:val="24"/>
        </w:rPr>
        <w:t>本文以A医药集团为案例，紧盯"医药集团+多院区"这一复杂组织场景，系统分析线上线下流程断点、多院区协同障碍、运营数据利用不足三大核心问题，并给出涵盖一体化流程再造、多院区协同机制、数据驱动智能质控三个维度的综合优化方案。</w:t>
      </w:r>
    </w:p>
    <w:p w14:paraId="76D99D71">
      <w:pPr>
        <w:spacing w:before="0" w:after="0" w:line="400" w:lineRule="exact"/>
        <w:ind w:firstLine="480"/>
        <w:jc w:val="both"/>
      </w:pPr>
      <w:r>
        <w:rPr>
          <w:rFonts w:ascii="Times New Roman" w:hAnsi="Times New Roman" w:eastAsia="宋体"/>
          <w:b w:val="0"/>
          <w:sz w:val="24"/>
        </w:rPr>
        <w:t>第三个研究缺口是价值聚焦层面。</w:t>
      </w:r>
      <w:r>
        <w:rPr>
          <w:rFonts w:ascii="Times New Roman" w:hAnsi="Times New Roman" w:eastAsia="宋体"/>
          <w:b w:val="0"/>
          <w:sz w:val="24"/>
        </w:rPr>
        <w:t>现有互联网医院的研究较多关注"如何建设"（技术架构、功能设计、系统开发），而对"如何用好"（流程效率、运营管理、持续改进）的研究相对薄弱。</w:t>
      </w:r>
      <w:r>
        <w:rPr>
          <w:rFonts w:ascii="Times New Roman" w:hAnsi="Times New Roman" w:eastAsia="宋体"/>
          <w:b w:val="0"/>
          <w:sz w:val="24"/>
        </w:rPr>
        <w:t>"建平台"的热潮过后，如何让建成的平台真正高效运转，是业界共同的难题。本文</w:t>
      </w:r>
      <w:r>
        <w:rPr>
          <w:rFonts w:hint="eastAsia" w:ascii="Times New Roman" w:hAnsi="Times New Roman"/>
          <w:b w:val="0"/>
          <w:sz w:val="24"/>
          <w:lang w:val="en-US" w:eastAsia="zh-CN"/>
        </w:rPr>
        <w:t>的</w:t>
      </w:r>
      <w:r>
        <w:rPr>
          <w:rFonts w:hint="eastAsia" w:ascii="Times New Roman" w:hAnsi="Times New Roman"/>
          <w:b w:val="0"/>
          <w:sz w:val="24"/>
          <w:lang w:val="en-US" w:eastAsia="zh-CN"/>
        </w:rPr>
        <w:t>研究</w:t>
      </w:r>
      <w:r>
        <w:rPr>
          <w:rFonts w:ascii="Times New Roman" w:hAnsi="Times New Roman" w:eastAsia="宋体"/>
          <w:b w:val="0"/>
          <w:sz w:val="24"/>
        </w:rPr>
        <w:t>正面回应</w:t>
      </w:r>
      <w:r>
        <w:rPr>
          <w:rFonts w:hint="eastAsia" w:ascii="Times New Roman" w:hAnsi="Times New Roman"/>
          <w:b w:val="0"/>
          <w:sz w:val="24"/>
          <w:lang w:val="en-US" w:eastAsia="zh-CN"/>
        </w:rPr>
        <w:t>这一问题</w:t>
      </w:r>
      <w:r>
        <w:rPr>
          <w:rFonts w:ascii="Times New Roman" w:hAnsi="Times New Roman" w:eastAsia="宋体"/>
          <w:b w:val="0"/>
          <w:sz w:val="24"/>
        </w:rPr>
        <w:t>：用数据驱动的方法精确诊断低效环节，用系统性的方案设计消除浪费和断点，再用准实验方法检验优化的实际效果，</w:t>
      </w:r>
      <w:r>
        <w:rPr>
          <w:rFonts w:ascii="Times New Roman" w:hAnsi="Times New Roman" w:eastAsia="宋体"/>
          <w:b w:val="0"/>
          <w:sz w:val="24"/>
        </w:rPr>
        <w:t>形成了一个从"发现问题"到"解决问题"再到"验证效果"的完整管理闭环</w:t>
      </w:r>
      <w:r>
        <w:rPr>
          <w:rFonts w:ascii="Times New Roman" w:hAnsi="Times New Roman" w:eastAsia="宋体"/>
          <w:b w:val="0"/>
          <w:sz w:val="24"/>
        </w:rPr>
        <w:t>。</w:t>
      </w:r>
    </w:p>
    <w:p w14:paraId="1C9377F7">
      <w:pPr>
        <w:spacing w:before="0" w:after="0" w:line="400" w:lineRule="exact"/>
        <w:ind w:firstLine="480"/>
        <w:jc w:val="both"/>
      </w:pPr>
      <w:r>
        <w:rPr>
          <w:rFonts w:ascii="Times New Roman" w:hAnsi="Times New Roman" w:eastAsia="宋体"/>
          <w:b w:val="0"/>
          <w:sz w:val="24"/>
        </w:rPr>
        <w:t>往更宽的层面看，本文还想把运营管理领域的三种核心方法——过程分析法（客观流程发现）、AHP（多准则决策）、服务蓝图（流程可视化建模）——拼成一套适用于复杂服务场景（多场所、多渠道、多系统）的流程优化方法论。这套框架的用武之地不</w:t>
      </w:r>
      <w:r>
        <w:rPr>
          <w:rFonts w:hint="eastAsia" w:ascii="Times New Roman" w:hAnsi="Times New Roman"/>
          <w:b w:val="0"/>
          <w:sz w:val="24"/>
          <w:lang w:val="en-US" w:eastAsia="zh-CN"/>
        </w:rPr>
        <w:t>仅仅</w:t>
      </w:r>
      <w:r>
        <w:rPr>
          <w:rFonts w:hint="eastAsia" w:ascii="Times New Roman" w:hAnsi="Times New Roman"/>
          <w:b w:val="0"/>
          <w:sz w:val="24"/>
          <w:lang w:val="en-US" w:eastAsia="zh-CN"/>
        </w:rPr>
        <w:t>局</w:t>
      </w:r>
      <w:r>
        <w:rPr>
          <w:rFonts w:ascii="Times New Roman" w:hAnsi="Times New Roman" w:eastAsia="宋体"/>
          <w:b w:val="0"/>
          <w:sz w:val="24"/>
        </w:rPr>
        <w:t>限于互联网医院，连锁医疗机构、多网点的金融服务机构等面临类似挑战的组织，同样可以</w:t>
      </w:r>
      <w:r>
        <w:rPr>
          <w:rFonts w:hint="eastAsia" w:ascii="Times New Roman" w:hAnsi="Times New Roman"/>
          <w:b w:val="0"/>
          <w:sz w:val="24"/>
          <w:lang w:val="en-US" w:eastAsia="zh-CN"/>
        </w:rPr>
        <w:t>参考</w:t>
      </w:r>
      <w:r>
        <w:rPr>
          <w:rFonts w:ascii="Times New Roman" w:hAnsi="Times New Roman" w:eastAsia="宋体"/>
          <w:b w:val="0"/>
          <w:sz w:val="24"/>
        </w:rPr>
        <w:t>取用。</w:t>
      </w:r>
    </w:p>
    <w:p w14:paraId="51B98149">
      <w:pPr>
        <w:spacing w:before="0" w:after="0" w:line="400" w:lineRule="exact"/>
        <w:ind w:firstLine="480"/>
        <w:jc w:val="both"/>
      </w:pPr>
      <w:r>
        <w:rPr>
          <w:rFonts w:ascii="Times New Roman" w:hAnsi="Times New Roman" w:eastAsia="宋体"/>
          <w:b w:val="0"/>
          <w:sz w:val="24"/>
        </w:rPr>
        <w:t>归结起来，本文的研究定位是：在数字化转型的背景下，以A医药集团互联网医院为案例，综合运用过程分析法、AHP方法、服务蓝图法和准实验法，对多院区互联网医院的服务流程做数据驱动的诊断、优先级评价、优化方案设计和效果验证</w:t>
      </w:r>
      <w:r>
        <w:rPr>
          <w:rFonts w:hint="eastAsia" w:ascii="Times New Roman" w:hAnsi="Times New Roman"/>
          <w:b w:val="0"/>
          <w:sz w:val="24"/>
          <w:lang w:eastAsia="zh-CN"/>
        </w:rPr>
        <w:t>，</w:t>
      </w:r>
      <w:r>
        <w:rPr>
          <w:rFonts w:hint="eastAsia" w:ascii="Times New Roman" w:hAnsi="Times New Roman"/>
          <w:b w:val="0"/>
          <w:sz w:val="24"/>
          <w:lang w:val="en-US" w:eastAsia="zh-CN"/>
        </w:rPr>
        <w:t>旨在</w:t>
      </w:r>
      <w:r>
        <w:rPr>
          <w:rFonts w:ascii="Times New Roman" w:hAnsi="Times New Roman" w:eastAsia="宋体"/>
          <w:b w:val="0"/>
          <w:sz w:val="24"/>
        </w:rPr>
        <w:t>为"如何用好互联网医院平台"这个实践命题，交出一套系统的、可复制的方法论</w:t>
      </w:r>
      <w:r>
        <w:rPr>
          <w:rFonts w:hint="eastAsia" w:ascii="Times New Roman" w:hAnsi="Times New Roman"/>
          <w:b w:val="0"/>
          <w:sz w:val="24"/>
          <w:lang w:val="en-US" w:eastAsia="zh-CN"/>
        </w:rPr>
        <w:t>解决</w:t>
      </w:r>
      <w:r>
        <w:rPr>
          <w:rFonts w:ascii="Times New Roman" w:hAnsi="Times New Roman" w:eastAsia="宋体"/>
          <w:b w:val="0"/>
          <w:sz w:val="24"/>
        </w:rPr>
        <w:t>方案。</w:t>
      </w:r>
    </w:p>
    <w:p w14:paraId="2F568850">
      <w:pPr>
        <w:spacing w:before="480" w:after="360" w:line="240" w:lineRule="auto"/>
        <w:jc w:val="center"/>
        <w:outlineLvl w:val="0"/>
      </w:pPr>
      <w:bookmarkStart w:id="31" w:name="_Toc22065"/>
      <w:r>
        <w:rPr>
          <w:rFonts w:ascii="Times New Roman" w:hAnsi="Times New Roman" w:eastAsia="黑体"/>
          <w:b/>
          <w:sz w:val="32"/>
        </w:rPr>
        <w:t>第三章　A医药集团互联网医院运营现状与问题分析</w:t>
      </w:r>
      <w:bookmarkEnd w:id="31"/>
    </w:p>
    <w:p w14:paraId="591D75A0">
      <w:pPr>
        <w:spacing w:before="480" w:after="120" w:line="240" w:lineRule="auto"/>
        <w:jc w:val="center"/>
        <w:outlineLvl w:val="1"/>
      </w:pPr>
      <w:bookmarkStart w:id="32" w:name="_Toc11539"/>
      <w:r>
        <w:rPr>
          <w:rFonts w:ascii="Times New Roman" w:hAnsi="Times New Roman" w:eastAsia="黑体"/>
          <w:b/>
          <w:sz w:val="28"/>
        </w:rPr>
        <w:t>第一节　A医药集团与互联网医院概况</w:t>
      </w:r>
      <w:bookmarkEnd w:id="32"/>
    </w:p>
    <w:p w14:paraId="6DDE51BF">
      <w:pPr>
        <w:spacing w:before="240" w:after="120" w:line="240" w:lineRule="auto"/>
        <w:ind w:firstLine="520"/>
        <w:outlineLvl w:val="2"/>
      </w:pPr>
      <w:bookmarkStart w:id="33" w:name="_Toc20994"/>
      <w:r>
        <w:rPr>
          <w:rFonts w:ascii="Times New Roman" w:hAnsi="Times New Roman" w:eastAsia="黑体"/>
          <w:b/>
          <w:sz w:val="26"/>
        </w:rPr>
        <w:t>一、A医药集团发展历程与业务版图</w:t>
      </w:r>
      <w:bookmarkEnd w:id="33"/>
    </w:p>
    <w:p w14:paraId="73FE060D">
      <w:pPr>
        <w:spacing w:before="0" w:after="0" w:line="400" w:lineRule="exact"/>
        <w:ind w:firstLine="480"/>
        <w:jc w:val="both"/>
      </w:pPr>
      <w:r>
        <w:rPr>
          <w:rFonts w:ascii="Times New Roman" w:hAnsi="Times New Roman" w:eastAsia="宋体"/>
          <w:b w:val="0"/>
          <w:sz w:val="24"/>
        </w:rPr>
        <w:t>A医药集团是国内医药流通</w:t>
      </w:r>
      <w:r>
        <w:rPr>
          <w:rFonts w:hint="eastAsia" w:ascii="Times New Roman" w:hAnsi="Times New Roman"/>
          <w:b w:val="0"/>
          <w:sz w:val="24"/>
          <w:lang w:val="en-US" w:eastAsia="zh-CN"/>
        </w:rPr>
        <w:t>及医疗服务</w:t>
      </w:r>
      <w:r>
        <w:rPr>
          <w:rFonts w:ascii="Times New Roman" w:hAnsi="Times New Roman" w:eastAsia="宋体"/>
          <w:b w:val="0"/>
          <w:sz w:val="24"/>
        </w:rPr>
        <w:t>领域的领先企业之一，</w:t>
      </w:r>
      <w:r>
        <w:rPr>
          <w:rFonts w:ascii="Times New Roman" w:hAnsi="Times New Roman" w:eastAsia="宋体"/>
          <w:b w:val="0"/>
          <w:sz w:val="24"/>
        </w:rPr>
        <w:t>业务范围覆盖</w:t>
      </w:r>
      <w:r>
        <w:rPr>
          <w:rFonts w:hint="eastAsia" w:ascii="Times New Roman" w:hAnsi="Times New Roman"/>
          <w:b w:val="0"/>
          <w:sz w:val="24"/>
          <w:lang w:val="en-US" w:eastAsia="zh-CN"/>
        </w:rPr>
        <w:t>医药研发与流通、</w:t>
      </w:r>
      <w:r>
        <w:rPr>
          <w:rFonts w:ascii="Times New Roman" w:hAnsi="Times New Roman" w:eastAsia="宋体"/>
          <w:b w:val="0"/>
          <w:sz w:val="24"/>
        </w:rPr>
        <w:t>药品分销、零售药房、医疗服务、医疗器械等多个板块。集团</w:t>
      </w:r>
      <w:r>
        <w:rPr>
          <w:rFonts w:ascii="Times New Roman" w:hAnsi="Times New Roman" w:eastAsia="宋体"/>
          <w:b w:val="0"/>
          <w:sz w:val="24"/>
        </w:rPr>
        <w:t>经过多轮改制与战略重组，逐步发展成为一家以"医药+医疗"双轮驱动为特征的综合性医药健康产业集团。</w:t>
      </w:r>
    </w:p>
    <w:p w14:paraId="0ACE1DDB">
      <w:pPr>
        <w:spacing w:before="0" w:after="0" w:line="400" w:lineRule="exact"/>
        <w:ind w:firstLine="480"/>
        <w:jc w:val="both"/>
      </w:pPr>
      <w:r>
        <w:rPr>
          <w:rFonts w:ascii="Times New Roman" w:hAnsi="Times New Roman" w:eastAsia="宋体"/>
          <w:b w:val="0"/>
          <w:sz w:val="24"/>
        </w:rPr>
        <w:t>在药品分销领域，A医药集团拥有覆盖全国的药品物流配送网络，与国内外千余家制药企业建立了稳定的供应链合作关系，为各级医疗机构提供药品采购、仓储、配送一体化服务。在零售终端，集团旗下连锁药房品牌已在全国</w:t>
      </w:r>
      <w:r>
        <w:rPr>
          <w:rFonts w:ascii="Times New Roman" w:hAnsi="Times New Roman" w:eastAsia="宋体"/>
          <w:b w:val="0"/>
          <w:sz w:val="24"/>
        </w:rPr>
        <w:t>形成了社区健康服务的重要触点。</w:t>
      </w:r>
    </w:p>
    <w:p w14:paraId="2643B789">
      <w:pPr>
        <w:spacing w:before="0" w:after="0" w:line="400" w:lineRule="exact"/>
        <w:ind w:firstLine="480"/>
        <w:jc w:val="both"/>
      </w:pPr>
      <w:r>
        <w:rPr>
          <w:rFonts w:ascii="Times New Roman" w:hAnsi="Times New Roman" w:eastAsia="宋体"/>
          <w:b w:val="0"/>
          <w:sz w:val="24"/>
        </w:rPr>
        <w:t>在医疗服务领域，A医药集团依托其在医药供应链上的核心优势，通过并购</w:t>
      </w:r>
      <w:r>
        <w:rPr>
          <w:rFonts w:hint="eastAsia" w:ascii="Times New Roman" w:hAnsi="Times New Roman"/>
          <w:b w:val="0"/>
          <w:sz w:val="24"/>
          <w:lang w:val="en-US" w:eastAsia="zh-CN"/>
        </w:rPr>
        <w:t>控股</w:t>
      </w:r>
      <w:r>
        <w:rPr>
          <w:rFonts w:ascii="Times New Roman" w:hAnsi="Times New Roman" w:eastAsia="宋体"/>
          <w:b w:val="0"/>
          <w:sz w:val="24"/>
        </w:rPr>
        <w:t>，先后整合了多家医疗机构。目前集团旗下拥有</w:t>
      </w:r>
      <w:r>
        <w:rPr>
          <w:rFonts w:hint="eastAsia" w:ascii="Times New Roman" w:hAnsi="Times New Roman"/>
          <w:b w:val="0"/>
          <w:sz w:val="24"/>
          <w:lang w:val="en-US" w:eastAsia="zh-CN"/>
        </w:rPr>
        <w:t>百余家</w:t>
      </w:r>
      <w:r>
        <w:rPr>
          <w:rFonts w:hint="eastAsia" w:ascii="Times New Roman" w:hAnsi="Times New Roman"/>
          <w:b w:val="0"/>
          <w:sz w:val="24"/>
          <w:lang w:val="en-US" w:eastAsia="zh-CN"/>
        </w:rPr>
        <w:t>医疗</w:t>
      </w:r>
      <w:r>
        <w:rPr>
          <w:rFonts w:hint="eastAsia" w:ascii="Times New Roman" w:hAnsi="Times New Roman"/>
          <w:b w:val="0"/>
          <w:sz w:val="24"/>
          <w:lang w:val="en-US" w:eastAsia="zh-CN"/>
        </w:rPr>
        <w:t>机构，</w:t>
      </w:r>
      <w:r>
        <w:rPr>
          <w:rFonts w:hint="eastAsia" w:ascii="Times New Roman" w:hAnsi="Times New Roman"/>
          <w:b w:val="0"/>
          <w:sz w:val="24"/>
          <w:lang w:val="en-US" w:eastAsia="zh-CN"/>
        </w:rPr>
        <w:t>本</w:t>
      </w:r>
      <w:r>
        <w:rPr>
          <w:rFonts w:hint="eastAsia" w:ascii="Times New Roman" w:hAnsi="Times New Roman"/>
          <w:b w:val="0"/>
          <w:sz w:val="24"/>
          <w:lang w:val="en-US" w:eastAsia="zh-CN"/>
        </w:rPr>
        <w:t>研究</w:t>
      </w:r>
      <w:r>
        <w:rPr>
          <w:rFonts w:hint="eastAsia" w:ascii="Times New Roman" w:hAnsi="Times New Roman"/>
          <w:b w:val="0"/>
          <w:sz w:val="24"/>
          <w:lang w:val="en-US" w:eastAsia="zh-CN"/>
        </w:rPr>
        <w:t>以</w:t>
      </w:r>
      <w:r>
        <w:rPr>
          <w:rFonts w:ascii="Times New Roman" w:hAnsi="Times New Roman" w:eastAsia="宋体"/>
          <w:b w:val="0"/>
          <w:sz w:val="24"/>
        </w:rPr>
        <w:t>三家三级甲等综合医院（以下分别称为"医院A""医院B""医院C"）、两家</w:t>
      </w:r>
      <w:r>
        <w:rPr>
          <w:rFonts w:hint="eastAsia" w:ascii="Times New Roman" w:hAnsi="Times New Roman"/>
          <w:b w:val="0"/>
          <w:sz w:val="24"/>
          <w:highlight w:val="yellow"/>
          <w:lang w:eastAsia="zh-CN"/>
        </w:rPr>
        <w:t>二级甲等综合医院</w:t>
      </w:r>
      <w:r>
        <w:rPr>
          <w:rFonts w:ascii="Times New Roman" w:hAnsi="Times New Roman" w:eastAsia="宋体"/>
          <w:b w:val="0"/>
          <w:sz w:val="24"/>
        </w:rPr>
        <w:t>（"医院D""医院E"）</w:t>
      </w:r>
      <w:r>
        <w:rPr>
          <w:rFonts w:hint="eastAsia" w:ascii="Times New Roman" w:hAnsi="Times New Roman"/>
          <w:b w:val="0"/>
          <w:sz w:val="24"/>
          <w:lang w:val="en-US" w:eastAsia="zh-CN"/>
        </w:rPr>
        <w:t>为</w:t>
      </w:r>
      <w:r>
        <w:rPr>
          <w:rFonts w:hint="eastAsia" w:ascii="Times New Roman" w:hAnsi="Times New Roman"/>
          <w:b w:val="0"/>
          <w:sz w:val="24"/>
          <w:lang w:val="en-US" w:eastAsia="zh-CN"/>
        </w:rPr>
        <w:t>主要</w:t>
      </w:r>
      <w:r>
        <w:rPr>
          <w:rFonts w:hint="eastAsia" w:ascii="Times New Roman" w:hAnsi="Times New Roman"/>
          <w:b w:val="0"/>
          <w:sz w:val="24"/>
          <w:lang w:val="en-US" w:eastAsia="zh-CN"/>
        </w:rPr>
        <w:t>研究</w:t>
      </w:r>
      <w:r>
        <w:rPr>
          <w:rFonts w:hint="eastAsia" w:ascii="Times New Roman" w:hAnsi="Times New Roman"/>
          <w:b w:val="0"/>
          <w:sz w:val="24"/>
          <w:lang w:val="en-US" w:eastAsia="zh-CN"/>
        </w:rPr>
        <w:t>对象</w:t>
      </w:r>
      <w:r>
        <w:rPr>
          <w:rFonts w:ascii="Times New Roman" w:hAnsi="Times New Roman" w:eastAsia="宋体"/>
          <w:b w:val="0"/>
          <w:sz w:val="24"/>
        </w:rPr>
        <w:t>。这些医疗机构分布于</w:t>
      </w:r>
      <w:r>
        <w:rPr>
          <w:rFonts w:hint="eastAsia" w:ascii="Times New Roman" w:hAnsi="Times New Roman"/>
          <w:b w:val="0"/>
          <w:sz w:val="24"/>
          <w:lang w:val="en-US" w:eastAsia="zh-CN"/>
        </w:rPr>
        <w:t>不同</w:t>
      </w:r>
      <w:r>
        <w:rPr>
          <w:rFonts w:hint="eastAsia" w:ascii="Times New Roman" w:hAnsi="Times New Roman"/>
          <w:b w:val="0"/>
          <w:sz w:val="24"/>
          <w:lang w:val="en-US" w:eastAsia="zh-CN"/>
        </w:rPr>
        <w:t>省份</w:t>
      </w:r>
      <w:r>
        <w:rPr>
          <w:rFonts w:hint="eastAsia" w:ascii="Times New Roman" w:hAnsi="Times New Roman"/>
          <w:b w:val="0"/>
          <w:sz w:val="24"/>
          <w:lang w:val="en-US" w:eastAsia="zh-CN"/>
        </w:rPr>
        <w:t>的</w:t>
      </w:r>
      <w:r>
        <w:rPr>
          <w:rFonts w:ascii="Times New Roman" w:hAnsi="Times New Roman" w:eastAsia="宋体"/>
          <w:b w:val="0"/>
          <w:sz w:val="24"/>
        </w:rPr>
        <w:t>三个城市，合计开放床位数</w:t>
      </w:r>
      <w:r>
        <w:rPr>
          <w:rFonts w:hint="eastAsia" w:ascii="Times New Roman" w:hAnsi="Times New Roman"/>
          <w:b w:val="0"/>
          <w:sz w:val="24"/>
          <w:lang w:val="en-US" w:eastAsia="zh-CN"/>
        </w:rPr>
        <w:t>近</w:t>
      </w:r>
      <w:r>
        <w:rPr>
          <w:rFonts w:ascii="Times New Roman" w:hAnsi="Times New Roman" w:eastAsia="宋体"/>
          <w:b w:val="0"/>
          <w:sz w:val="24"/>
        </w:rPr>
        <w:t>五千张，年门急诊量超过三百万人次。</w:t>
      </w:r>
    </w:p>
    <w:p w14:paraId="0EE18671">
      <w:pPr>
        <w:spacing w:before="0" w:after="0" w:line="400" w:lineRule="exact"/>
        <w:ind w:firstLine="480"/>
        <w:jc w:val="both"/>
      </w:pPr>
      <w:r>
        <w:rPr>
          <w:rFonts w:ascii="Times New Roman" w:hAnsi="Times New Roman" w:eastAsia="宋体"/>
          <w:b w:val="0"/>
          <w:sz w:val="24"/>
        </w:rPr>
        <w:t>集团旗下各医院在学科建设上各有所长，表3.1汇总了各医院的关键特征。</w:t>
      </w:r>
    </w:p>
    <w:p w14:paraId="32B080E0">
      <w:pPr>
        <w:jc w:val="center"/>
      </w:pPr>
      <w:r>
        <w:drawing>
          <wp:inline distT="0" distB="0" distL="114300" distR="114300">
            <wp:extent cx="5039995" cy="3702685"/>
            <wp:effectExtent l="0" t="0" r="1333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5"/>
                    <a:stretch>
                      <a:fillRect/>
                    </a:stretch>
                  </pic:blipFill>
                  <pic:spPr>
                    <a:xfrm>
                      <a:off x="0" y="0"/>
                      <a:ext cx="5040000" cy="3702857"/>
                    </a:xfrm>
                    <a:prstGeom prst="rect">
                      <a:avLst/>
                    </a:prstGeom>
                  </pic:spPr>
                </pic:pic>
              </a:graphicData>
            </a:graphic>
          </wp:inline>
        </w:drawing>
      </w:r>
    </w:p>
    <w:p w14:paraId="7F3B8FB8">
      <w:pPr>
        <w:spacing w:before="0" w:after="0" w:line="400" w:lineRule="exact"/>
        <w:ind w:firstLine="480"/>
        <w:jc w:val="both"/>
      </w:pPr>
      <w:r>
        <w:rPr>
          <w:rFonts w:ascii="Times New Roman" w:hAnsi="Times New Roman" w:eastAsia="宋体"/>
          <w:b w:val="0"/>
          <w:sz w:val="24"/>
        </w:rPr>
        <w:t>图3.1 A医药集团组织架构图</w:t>
      </w:r>
    </w:p>
    <w:p w14:paraId="7484FB8D">
      <w:pPr>
        <w:spacing w:before="120" w:after="120" w:line="240" w:lineRule="auto"/>
        <w:jc w:val="center"/>
      </w:pPr>
      <w:r>
        <w:rPr>
          <w:rFonts w:ascii="Times New Roman" w:hAnsi="Times New Roman" w:eastAsia="宋体"/>
          <w:b w:val="0"/>
          <w:sz w:val="21"/>
        </w:rPr>
        <w:t>表3.1　A医药集团旗下主要医院概况</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230"/>
        <w:gridCol w:w="1230"/>
        <w:gridCol w:w="1230"/>
        <w:gridCol w:w="1230"/>
        <w:gridCol w:w="1230"/>
        <w:gridCol w:w="1230"/>
        <w:gridCol w:w="1230"/>
        <w:tblGridChange w:id="543">
          <w:tblGrid>
            <w:gridCol w:w="1230"/>
            <w:gridCol w:w="1230"/>
            <w:gridCol w:w="1230"/>
            <w:gridCol w:w="1230"/>
            <w:gridCol w:w="1230"/>
            <w:gridCol w:w="1230"/>
            <w:gridCol w:w="1230"/>
          </w:tblGrid>
        </w:tblGridChange>
      </w:tblGrid>
      <w:tr w14:paraId="70E2018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544"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Borders>
              <w:bottom w:val="single" w:color="000000" w:sz="12" w:space="0"/>
            </w:tcBorders>
          </w:tcPr>
          <w:p w14:paraId="3BD88D85">
            <w:pPr>
              <w:jc w:val="center"/>
            </w:pPr>
            <w:r>
              <w:rPr>
                <w:rFonts w:ascii="Times New Roman" w:hAnsi="Times New Roman" w:eastAsia="宋体"/>
                <w:b/>
                <w:sz w:val="20"/>
              </w:rPr>
              <w:t>医院</w:t>
            </w:r>
          </w:p>
        </w:tc>
        <w:tc>
          <w:tcPr>
            <w:tcW w:w="1230" w:type="dxa"/>
            <w:tcBorders>
              <w:bottom w:val="single" w:color="000000" w:sz="12" w:space="0"/>
            </w:tcBorders>
          </w:tcPr>
          <w:p w14:paraId="5EFC989F">
            <w:pPr>
              <w:jc w:val="center"/>
            </w:pPr>
            <w:r>
              <w:rPr>
                <w:rFonts w:ascii="Times New Roman" w:hAnsi="Times New Roman" w:eastAsia="宋体"/>
                <w:b/>
                <w:sz w:val="20"/>
              </w:rPr>
              <w:t>等级</w:t>
            </w:r>
          </w:p>
        </w:tc>
        <w:tc>
          <w:tcPr>
            <w:tcW w:w="1230" w:type="dxa"/>
            <w:tcBorders>
              <w:bottom w:val="single" w:color="000000" w:sz="12" w:space="0"/>
            </w:tcBorders>
          </w:tcPr>
          <w:p w14:paraId="314088CA">
            <w:pPr>
              <w:jc w:val="center"/>
            </w:pPr>
            <w:r>
              <w:rPr>
                <w:rFonts w:ascii="Times New Roman" w:hAnsi="Times New Roman" w:eastAsia="宋体"/>
                <w:b/>
                <w:sz w:val="20"/>
              </w:rPr>
              <w:t>床位数</w:t>
            </w:r>
          </w:p>
        </w:tc>
        <w:tc>
          <w:tcPr>
            <w:tcW w:w="1230" w:type="dxa"/>
            <w:tcBorders>
              <w:bottom w:val="single" w:color="000000" w:sz="12" w:space="0"/>
            </w:tcBorders>
          </w:tcPr>
          <w:p w14:paraId="545DCFAD">
            <w:pPr>
              <w:jc w:val="center"/>
            </w:pPr>
            <w:r>
              <w:rPr>
                <w:rFonts w:ascii="Times New Roman" w:hAnsi="Times New Roman" w:eastAsia="宋体"/>
                <w:b/>
                <w:sz w:val="20"/>
              </w:rPr>
              <w:t>特色学科</w:t>
            </w:r>
          </w:p>
        </w:tc>
        <w:tc>
          <w:tcPr>
            <w:tcW w:w="1230" w:type="dxa"/>
            <w:tcBorders>
              <w:bottom w:val="single" w:color="000000" w:sz="12" w:space="0"/>
            </w:tcBorders>
          </w:tcPr>
          <w:p w14:paraId="6446AA07">
            <w:pPr>
              <w:jc w:val="center"/>
            </w:pPr>
            <w:r>
              <w:rPr>
                <w:rFonts w:ascii="Times New Roman" w:hAnsi="Times New Roman" w:eastAsia="宋体"/>
                <w:b/>
                <w:sz w:val="20"/>
              </w:rPr>
              <w:t>年门急诊量</w:t>
            </w:r>
          </w:p>
        </w:tc>
        <w:tc>
          <w:tcPr>
            <w:tcW w:w="1230" w:type="dxa"/>
            <w:tcBorders>
              <w:bottom w:val="single" w:color="000000" w:sz="12" w:space="0"/>
            </w:tcBorders>
          </w:tcPr>
          <w:p w14:paraId="77B6F401">
            <w:pPr>
              <w:jc w:val="center"/>
            </w:pPr>
            <w:r>
              <w:rPr>
                <w:rFonts w:ascii="Times New Roman" w:hAnsi="Times New Roman" w:eastAsia="宋体"/>
                <w:b/>
                <w:sz w:val="20"/>
              </w:rPr>
              <w:t>HIS版本</w:t>
            </w:r>
          </w:p>
        </w:tc>
        <w:tc>
          <w:tcPr>
            <w:tcW w:w="1230" w:type="dxa"/>
            <w:tcBorders>
              <w:bottom w:val="single" w:color="000000" w:sz="12" w:space="0"/>
            </w:tcBorders>
          </w:tcPr>
          <w:p w14:paraId="65C89640">
            <w:pPr>
              <w:jc w:val="center"/>
            </w:pPr>
            <w:r>
              <w:rPr>
                <w:rFonts w:ascii="Times New Roman" w:hAnsi="Times New Roman" w:eastAsia="宋体"/>
                <w:b/>
                <w:sz w:val="20"/>
              </w:rPr>
              <w:t>接入平台时间</w:t>
            </w:r>
          </w:p>
        </w:tc>
      </w:tr>
      <w:tr w14:paraId="629E5F6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552"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
          <w:p w14:paraId="67E3DFA6">
            <w:r>
              <w:rPr>
                <w:rFonts w:ascii="Times New Roman" w:hAnsi="Times New Roman" w:eastAsia="宋体"/>
                <w:sz w:val="20"/>
              </w:rPr>
              <w:t>医院A</w:t>
            </w:r>
          </w:p>
        </w:tc>
        <w:tc>
          <w:tcPr>
            <w:tcW w:w="1230" w:type="dxa"/>
          </w:tcPr>
          <w:p w14:paraId="070ACA06">
            <w:r>
              <w:rPr>
                <w:rFonts w:ascii="Times New Roman" w:hAnsi="Times New Roman" w:eastAsia="宋体"/>
                <w:sz w:val="20"/>
              </w:rPr>
              <w:t>三甲综合</w:t>
            </w:r>
          </w:p>
        </w:tc>
        <w:tc>
          <w:tcPr>
            <w:tcW w:w="1230" w:type="dxa"/>
          </w:tcPr>
          <w:p w14:paraId="4263F226">
            <w:r>
              <w:rPr>
                <w:rFonts w:ascii="Times New Roman" w:hAnsi="Times New Roman" w:eastAsia="宋体"/>
                <w:sz w:val="20"/>
              </w:rPr>
              <w:t>~1800张</w:t>
            </w:r>
          </w:p>
        </w:tc>
        <w:tc>
          <w:tcPr>
            <w:tcW w:w="1230" w:type="dxa"/>
          </w:tcPr>
          <w:p w14:paraId="378A6E1E">
            <w:r>
              <w:rPr>
                <w:rFonts w:ascii="Times New Roman" w:hAnsi="Times New Roman" w:eastAsia="宋体"/>
                <w:sz w:val="20"/>
              </w:rPr>
              <w:t>心脑血管、微创外科</w:t>
            </w:r>
          </w:p>
        </w:tc>
        <w:tc>
          <w:tcPr>
            <w:tcW w:w="1230" w:type="dxa"/>
          </w:tcPr>
          <w:p w14:paraId="449789BE">
            <w:r>
              <w:rPr>
                <w:rFonts w:ascii="Times New Roman" w:hAnsi="Times New Roman" w:eastAsia="宋体"/>
                <w:sz w:val="20"/>
              </w:rPr>
              <w:t>~120万人次</w:t>
            </w:r>
          </w:p>
        </w:tc>
        <w:tc>
          <w:tcPr>
            <w:tcW w:w="1230" w:type="dxa"/>
          </w:tcPr>
          <w:p w14:paraId="699AA154">
            <w:r>
              <w:rPr>
                <w:rFonts w:hint="eastAsia" w:ascii="Times New Roman" w:hAnsi="Times New Roman"/>
                <w:sz w:val="20"/>
                <w:lang w:val="en-US" w:eastAsia="zh-CN"/>
              </w:rPr>
              <w:t>A</w:t>
            </w:r>
            <w:r>
              <w:rPr>
                <w:rFonts w:hint="eastAsia" w:ascii="Times New Roman" w:hAnsi="Times New Roman"/>
                <w:sz w:val="20"/>
                <w:lang w:val="en-US" w:eastAsia="zh-CN"/>
              </w:rPr>
              <w:t>厂商</w:t>
            </w:r>
            <w:r>
              <w:rPr>
                <w:rFonts w:ascii="Times New Roman" w:hAnsi="Times New Roman" w:eastAsia="宋体"/>
                <w:sz w:val="20"/>
              </w:rPr>
              <w:t>V5.2</w:t>
            </w:r>
          </w:p>
        </w:tc>
        <w:tc>
          <w:tcPr>
            <w:tcW w:w="1230" w:type="dxa"/>
          </w:tcPr>
          <w:p w14:paraId="6CBE3801">
            <w:r>
              <w:rPr>
                <w:rFonts w:ascii="Times New Roman" w:hAnsi="Times New Roman" w:eastAsia="宋体"/>
                <w:sz w:val="20"/>
              </w:rPr>
              <w:t>202</w:t>
            </w:r>
            <w:r>
              <w:rPr>
                <w:rFonts w:hint="eastAsia" w:ascii="Times New Roman" w:hAnsi="Times New Roman"/>
                <w:sz w:val="20"/>
                <w:lang w:val="en-US" w:eastAsia="zh-CN"/>
              </w:rPr>
              <w:t>1</w:t>
            </w:r>
            <w:r>
              <w:rPr>
                <w:rFonts w:ascii="Times New Roman" w:hAnsi="Times New Roman" w:eastAsia="宋体"/>
                <w:sz w:val="20"/>
              </w:rPr>
              <w:t>年</w:t>
            </w:r>
          </w:p>
        </w:tc>
      </w:tr>
      <w:tr w14:paraId="77C00A3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564"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
          <w:p w14:paraId="312FF79D">
            <w:r>
              <w:rPr>
                <w:rFonts w:ascii="Times New Roman" w:hAnsi="Times New Roman" w:eastAsia="宋体"/>
                <w:sz w:val="20"/>
              </w:rPr>
              <w:t>医院B</w:t>
            </w:r>
          </w:p>
        </w:tc>
        <w:tc>
          <w:tcPr>
            <w:tcW w:w="1230" w:type="dxa"/>
          </w:tcPr>
          <w:p w14:paraId="4CCEA89C">
            <w:r>
              <w:rPr>
                <w:rFonts w:ascii="Times New Roman" w:hAnsi="Times New Roman" w:eastAsia="宋体"/>
                <w:sz w:val="20"/>
              </w:rPr>
              <w:t>三甲综合</w:t>
            </w:r>
          </w:p>
        </w:tc>
        <w:tc>
          <w:tcPr>
            <w:tcW w:w="1230" w:type="dxa"/>
          </w:tcPr>
          <w:p w14:paraId="76EDDCE5">
            <w:r>
              <w:rPr>
                <w:rFonts w:ascii="Times New Roman" w:hAnsi="Times New Roman" w:eastAsia="宋体"/>
                <w:sz w:val="20"/>
              </w:rPr>
              <w:t>~1200张</w:t>
            </w:r>
          </w:p>
        </w:tc>
        <w:tc>
          <w:tcPr>
            <w:tcW w:w="1230" w:type="dxa"/>
          </w:tcPr>
          <w:p w14:paraId="512E48E7">
            <w:r>
              <w:rPr>
                <w:rFonts w:ascii="Times New Roman" w:hAnsi="Times New Roman" w:eastAsia="宋体"/>
                <w:sz w:val="20"/>
              </w:rPr>
              <w:t>妇产儿科、肿瘤</w:t>
            </w:r>
          </w:p>
        </w:tc>
        <w:tc>
          <w:tcPr>
            <w:tcW w:w="1230" w:type="dxa"/>
          </w:tcPr>
          <w:p w14:paraId="20BBEDBD">
            <w:r>
              <w:rPr>
                <w:rFonts w:ascii="Times New Roman" w:hAnsi="Times New Roman" w:eastAsia="宋体"/>
                <w:sz w:val="20"/>
              </w:rPr>
              <w:t>~85万人次</w:t>
            </w:r>
          </w:p>
        </w:tc>
        <w:tc>
          <w:tcPr>
            <w:tcW w:w="1230" w:type="dxa"/>
          </w:tcPr>
          <w:p w14:paraId="373FC13F">
            <w:r>
              <w:rPr>
                <w:rFonts w:hint="eastAsia" w:ascii="Times New Roman" w:hAnsi="Times New Roman"/>
                <w:sz w:val="20"/>
                <w:lang w:val="en-US" w:eastAsia="zh-CN"/>
              </w:rPr>
              <w:t>B</w:t>
            </w:r>
            <w:r>
              <w:rPr>
                <w:rFonts w:hint="eastAsia" w:ascii="Times New Roman" w:hAnsi="Times New Roman"/>
                <w:sz w:val="20"/>
                <w:lang w:val="en-US" w:eastAsia="zh-CN"/>
              </w:rPr>
              <w:t>厂商</w:t>
            </w:r>
            <w:r>
              <w:rPr>
                <w:rFonts w:ascii="Times New Roman" w:hAnsi="Times New Roman" w:eastAsia="宋体"/>
                <w:sz w:val="20"/>
              </w:rPr>
              <w:t>V3.8</w:t>
            </w:r>
          </w:p>
        </w:tc>
        <w:tc>
          <w:tcPr>
            <w:tcW w:w="1230" w:type="dxa"/>
          </w:tcPr>
          <w:p w14:paraId="11141671">
            <w:r>
              <w:rPr>
                <w:rFonts w:ascii="Times New Roman" w:hAnsi="Times New Roman" w:eastAsia="宋体"/>
                <w:sz w:val="20"/>
              </w:rPr>
              <w:t>2022年</w:t>
            </w:r>
          </w:p>
        </w:tc>
      </w:tr>
      <w:tr w14:paraId="284142E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574"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
          <w:p w14:paraId="25F1DBAB">
            <w:r>
              <w:rPr>
                <w:rFonts w:ascii="Times New Roman" w:hAnsi="Times New Roman" w:eastAsia="宋体"/>
                <w:sz w:val="20"/>
              </w:rPr>
              <w:t>医院C</w:t>
            </w:r>
          </w:p>
        </w:tc>
        <w:tc>
          <w:tcPr>
            <w:tcW w:w="1230" w:type="dxa"/>
          </w:tcPr>
          <w:p w14:paraId="7B907FE2">
            <w:r>
              <w:rPr>
                <w:rFonts w:ascii="Times New Roman" w:hAnsi="Times New Roman" w:eastAsia="宋体"/>
                <w:sz w:val="20"/>
              </w:rPr>
              <w:t>三甲综合</w:t>
            </w:r>
          </w:p>
        </w:tc>
        <w:tc>
          <w:tcPr>
            <w:tcW w:w="1230" w:type="dxa"/>
          </w:tcPr>
          <w:p w14:paraId="49213D37">
            <w:r>
              <w:rPr>
                <w:rFonts w:ascii="Times New Roman" w:hAnsi="Times New Roman" w:eastAsia="宋体"/>
                <w:sz w:val="20"/>
              </w:rPr>
              <w:t>~1000张</w:t>
            </w:r>
          </w:p>
        </w:tc>
        <w:tc>
          <w:tcPr>
            <w:tcW w:w="1230" w:type="dxa"/>
          </w:tcPr>
          <w:p w14:paraId="747CE202">
            <w:r>
              <w:rPr>
                <w:rFonts w:ascii="Times New Roman" w:hAnsi="Times New Roman" w:eastAsia="宋体"/>
                <w:sz w:val="20"/>
              </w:rPr>
              <w:t>骨科、康复医学</w:t>
            </w:r>
          </w:p>
        </w:tc>
        <w:tc>
          <w:tcPr>
            <w:tcW w:w="1230" w:type="dxa"/>
          </w:tcPr>
          <w:p w14:paraId="3D35099F">
            <w:r>
              <w:rPr>
                <w:rFonts w:ascii="Times New Roman" w:hAnsi="Times New Roman" w:eastAsia="宋体"/>
                <w:sz w:val="20"/>
              </w:rPr>
              <w:t>~60万人次</w:t>
            </w:r>
          </w:p>
        </w:tc>
        <w:tc>
          <w:tcPr>
            <w:tcW w:w="1230" w:type="dxa"/>
          </w:tcPr>
          <w:p w14:paraId="3580D0D4">
            <w:r>
              <w:rPr>
                <w:rFonts w:hint="eastAsia" w:ascii="Times New Roman" w:hAnsi="Times New Roman"/>
                <w:sz w:val="20"/>
                <w:lang w:val="en-US" w:eastAsia="zh-CN"/>
              </w:rPr>
              <w:t>C</w:t>
            </w:r>
            <w:r>
              <w:rPr>
                <w:rFonts w:hint="eastAsia" w:ascii="Times New Roman" w:hAnsi="Times New Roman"/>
                <w:sz w:val="20"/>
                <w:lang w:val="en-US" w:eastAsia="zh-CN"/>
              </w:rPr>
              <w:t>厂商</w:t>
            </w:r>
            <w:r>
              <w:rPr>
                <w:rFonts w:ascii="Times New Roman" w:hAnsi="Times New Roman" w:eastAsia="宋体"/>
                <w:sz w:val="20"/>
              </w:rPr>
              <w:t>V</w:t>
            </w:r>
            <w:r>
              <w:rPr>
                <w:rFonts w:hint="eastAsia" w:ascii="Times New Roman" w:hAnsi="Times New Roman"/>
                <w:sz w:val="20"/>
                <w:lang w:val="en-US" w:eastAsia="zh-CN"/>
              </w:rPr>
              <w:t>4</w:t>
            </w:r>
            <w:r>
              <w:rPr>
                <w:rFonts w:ascii="Times New Roman" w:hAnsi="Times New Roman" w:eastAsia="宋体"/>
                <w:sz w:val="20"/>
              </w:rPr>
              <w:t>.5</w:t>
            </w:r>
          </w:p>
        </w:tc>
        <w:tc>
          <w:tcPr>
            <w:tcW w:w="1230" w:type="dxa"/>
          </w:tcPr>
          <w:p w14:paraId="0A19E7D3">
            <w:r>
              <w:rPr>
                <w:rFonts w:ascii="Times New Roman" w:hAnsi="Times New Roman" w:eastAsia="宋体"/>
                <w:sz w:val="20"/>
              </w:rPr>
              <w:t>2023年</w:t>
            </w:r>
          </w:p>
        </w:tc>
      </w:tr>
      <w:tr w14:paraId="01D86DB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586"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
          <w:p w14:paraId="0DF86B9B">
            <w:r>
              <w:rPr>
                <w:rFonts w:ascii="Times New Roman" w:hAnsi="Times New Roman" w:eastAsia="宋体"/>
                <w:sz w:val="20"/>
              </w:rPr>
              <w:t>医院D</w:t>
            </w:r>
          </w:p>
        </w:tc>
        <w:tc>
          <w:tcPr>
            <w:tcW w:w="1230" w:type="dxa"/>
          </w:tcPr>
          <w:p w14:paraId="65C73A89">
            <w:r>
              <w:rPr>
                <w:rFonts w:ascii="Times New Roman" w:hAnsi="Times New Roman" w:eastAsia="宋体"/>
                <w:sz w:val="20"/>
              </w:rPr>
              <w:t>二甲</w:t>
            </w:r>
            <w:r>
              <w:rPr>
                <w:rFonts w:hint="eastAsia" w:ascii="Times New Roman" w:hAnsi="Times New Roman"/>
                <w:sz w:val="20"/>
                <w:lang w:val="en-US" w:eastAsia="zh-CN"/>
              </w:rPr>
              <w:t>综合</w:t>
            </w:r>
          </w:p>
        </w:tc>
        <w:tc>
          <w:tcPr>
            <w:tcW w:w="1230" w:type="dxa"/>
          </w:tcPr>
          <w:p w14:paraId="247061B4">
            <w:r>
              <w:rPr>
                <w:rFonts w:ascii="Times New Roman" w:hAnsi="Times New Roman" w:eastAsia="宋体"/>
                <w:sz w:val="20"/>
              </w:rPr>
              <w:t>~400张</w:t>
            </w:r>
          </w:p>
        </w:tc>
        <w:tc>
          <w:tcPr>
            <w:tcW w:w="1230" w:type="dxa"/>
          </w:tcPr>
          <w:p w14:paraId="74DB8F40">
            <w:pPr>
              <w:rPr>
                <w:rFonts w:hint="default" w:eastAsia="宋体"/>
                <w:lang w:val="en-US" w:eastAsia="zh-CN"/>
              </w:rPr>
            </w:pPr>
            <w:r>
              <w:rPr>
                <w:rFonts w:hint="eastAsia" w:ascii="Times New Roman" w:hAnsi="Times New Roman"/>
                <w:sz w:val="20"/>
                <w:lang w:val="en-US" w:eastAsia="zh-CN"/>
              </w:rPr>
              <w:t>心血管</w:t>
            </w:r>
            <w:r>
              <w:rPr>
                <w:rFonts w:hint="eastAsia" w:ascii="Times New Roman" w:hAnsi="Times New Roman"/>
                <w:sz w:val="20"/>
                <w:lang w:val="en-US" w:eastAsia="zh-CN"/>
              </w:rPr>
              <w:t>、</w:t>
            </w:r>
            <w:r>
              <w:rPr>
                <w:rFonts w:hint="eastAsia" w:ascii="Times New Roman" w:hAnsi="Times New Roman"/>
                <w:sz w:val="20"/>
                <w:lang w:val="en-US" w:eastAsia="zh-CN"/>
              </w:rPr>
              <w:t>呼吸</w:t>
            </w:r>
          </w:p>
        </w:tc>
        <w:tc>
          <w:tcPr>
            <w:tcW w:w="1230" w:type="dxa"/>
          </w:tcPr>
          <w:p w14:paraId="3A1E084E">
            <w:r>
              <w:rPr>
                <w:rFonts w:ascii="Times New Roman" w:hAnsi="Times New Roman" w:eastAsia="宋体"/>
                <w:sz w:val="20"/>
              </w:rPr>
              <w:t>~25万人次</w:t>
            </w:r>
          </w:p>
        </w:tc>
        <w:tc>
          <w:tcPr>
            <w:tcW w:w="1230" w:type="dxa"/>
          </w:tcPr>
          <w:p w14:paraId="00C99809">
            <w:pPr>
              <w:rPr>
                <w:rFonts w:hint="eastAsia" w:eastAsia="宋体"/>
                <w:lang w:eastAsia="zh-CN"/>
              </w:rPr>
            </w:pPr>
            <w:r>
              <w:rPr>
                <w:rFonts w:hint="eastAsia" w:ascii="Times New Roman" w:hAnsi="Times New Roman"/>
                <w:sz w:val="20"/>
                <w:lang w:val="en-US" w:eastAsia="zh-CN"/>
              </w:rPr>
              <w:t>B</w:t>
            </w:r>
            <w:r>
              <w:rPr>
                <w:rFonts w:hint="eastAsia" w:ascii="Times New Roman" w:hAnsi="Times New Roman"/>
                <w:sz w:val="20"/>
                <w:lang w:val="en-US" w:eastAsia="zh-CN"/>
              </w:rPr>
              <w:t>厂商</w:t>
            </w:r>
            <w:r>
              <w:rPr>
                <w:rFonts w:ascii="Times New Roman" w:hAnsi="Times New Roman" w:eastAsia="宋体"/>
                <w:sz w:val="20"/>
              </w:rPr>
              <w:t>V3.</w:t>
            </w:r>
            <w:r>
              <w:rPr>
                <w:rFonts w:hint="eastAsia" w:ascii="Times New Roman" w:hAnsi="Times New Roman"/>
                <w:sz w:val="20"/>
                <w:lang w:val="en-US" w:eastAsia="zh-CN"/>
              </w:rPr>
              <w:t>5</w:t>
            </w:r>
          </w:p>
        </w:tc>
        <w:tc>
          <w:tcPr>
            <w:tcW w:w="1230" w:type="dxa"/>
          </w:tcPr>
          <w:p w14:paraId="27678790">
            <w:r>
              <w:rPr>
                <w:rFonts w:ascii="Times New Roman" w:hAnsi="Times New Roman" w:eastAsia="宋体"/>
                <w:sz w:val="20"/>
              </w:rPr>
              <w:t>202</w:t>
            </w:r>
            <w:r>
              <w:rPr>
                <w:rFonts w:hint="eastAsia" w:ascii="Times New Roman" w:hAnsi="Times New Roman"/>
                <w:sz w:val="20"/>
                <w:lang w:val="en-US" w:eastAsia="zh-CN"/>
              </w:rPr>
              <w:t>4</w:t>
            </w:r>
            <w:r>
              <w:rPr>
                <w:rFonts w:ascii="Times New Roman" w:hAnsi="Times New Roman" w:eastAsia="宋体"/>
                <w:sz w:val="20"/>
              </w:rPr>
              <w:t>年</w:t>
            </w:r>
          </w:p>
        </w:tc>
      </w:tr>
      <w:tr w14:paraId="3F86571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Change w:id="607" w:author="袁明镜" w:date="2026-09-04T16:32:15Z">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blPrExChange>
        </w:tblPrEx>
        <w:trPr>
          <w:jc w:val="center"/>
        </w:trPr>
        <w:tc>
          <w:tcPr>
            <w:tcW w:w="1230" w:type="dxa"/>
          </w:tcPr>
          <w:p w14:paraId="5957750A">
            <w:r>
              <w:rPr>
                <w:rFonts w:ascii="Times New Roman" w:hAnsi="Times New Roman" w:eastAsia="宋体"/>
                <w:sz w:val="20"/>
              </w:rPr>
              <w:t>医院E</w:t>
            </w:r>
          </w:p>
        </w:tc>
        <w:tc>
          <w:tcPr>
            <w:tcW w:w="1230" w:type="dxa"/>
          </w:tcPr>
          <w:p w14:paraId="7A5EB54A">
            <w:r>
              <w:rPr>
                <w:rFonts w:ascii="Times New Roman" w:hAnsi="Times New Roman" w:eastAsia="宋体"/>
                <w:sz w:val="20"/>
              </w:rPr>
              <w:t>二甲</w:t>
            </w:r>
            <w:r>
              <w:rPr>
                <w:rFonts w:hint="eastAsia" w:ascii="Times New Roman" w:hAnsi="Times New Roman"/>
                <w:sz w:val="20"/>
                <w:lang w:val="en-US" w:eastAsia="zh-CN"/>
              </w:rPr>
              <w:t>综合</w:t>
            </w:r>
          </w:p>
        </w:tc>
        <w:tc>
          <w:tcPr>
            <w:tcW w:w="1230" w:type="dxa"/>
          </w:tcPr>
          <w:p w14:paraId="24380DB7">
            <w:r>
              <w:rPr>
                <w:rFonts w:ascii="Times New Roman" w:hAnsi="Times New Roman" w:eastAsia="宋体"/>
                <w:sz w:val="20"/>
              </w:rPr>
              <w:t>~300张</w:t>
            </w:r>
          </w:p>
        </w:tc>
        <w:tc>
          <w:tcPr>
            <w:tcW w:w="1230" w:type="dxa"/>
          </w:tcPr>
          <w:p w14:paraId="2B71ED4D">
            <w:pPr>
              <w:rPr>
                <w:rFonts w:hint="default" w:eastAsia="宋体"/>
                <w:lang w:val="en-US" w:eastAsia="zh-CN"/>
              </w:rPr>
            </w:pPr>
            <w:r>
              <w:rPr>
                <w:rFonts w:ascii="Times New Roman" w:hAnsi="Times New Roman" w:eastAsia="宋体"/>
                <w:sz w:val="20"/>
                <w:highlight w:val="yellow"/>
              </w:rPr>
              <w:t>口腔</w:t>
            </w:r>
            <w:r>
              <w:rPr>
                <w:rFonts w:hint="eastAsia" w:ascii="Times New Roman" w:hAnsi="Times New Roman"/>
                <w:sz w:val="20"/>
                <w:highlight w:val="yellow"/>
                <w:lang w:eastAsia="zh-CN"/>
              </w:rPr>
              <w:t>、</w:t>
            </w:r>
            <w:r>
              <w:rPr>
                <w:rFonts w:hint="eastAsia" w:ascii="Times New Roman" w:hAnsi="Times New Roman"/>
                <w:sz w:val="20"/>
                <w:highlight w:val="yellow"/>
                <w:lang w:val="en-US" w:eastAsia="zh-CN"/>
              </w:rPr>
              <w:t>老年</w:t>
            </w:r>
            <w:r>
              <w:rPr>
                <w:rFonts w:hint="eastAsia" w:ascii="Times New Roman" w:hAnsi="Times New Roman"/>
                <w:sz w:val="20"/>
                <w:highlight w:val="yellow"/>
                <w:lang w:val="en-US" w:eastAsia="zh-CN"/>
              </w:rPr>
              <w:t>护理</w:t>
            </w:r>
          </w:p>
        </w:tc>
        <w:tc>
          <w:tcPr>
            <w:tcW w:w="1230" w:type="dxa"/>
          </w:tcPr>
          <w:p w14:paraId="76E95E33">
            <w:r>
              <w:rPr>
                <w:rFonts w:ascii="Times New Roman" w:hAnsi="Times New Roman" w:eastAsia="宋体"/>
                <w:sz w:val="20"/>
              </w:rPr>
              <w:t>~15万人次</w:t>
            </w:r>
          </w:p>
        </w:tc>
        <w:tc>
          <w:tcPr>
            <w:tcW w:w="1230" w:type="dxa"/>
          </w:tcPr>
          <w:p w14:paraId="68A43455">
            <w:pPr>
              <w:rPr>
                <w:rFonts w:hint="eastAsia" w:eastAsia="宋体"/>
                <w:lang w:val="en-US" w:eastAsia="zh-CN"/>
              </w:rPr>
            </w:pPr>
            <w:r>
              <w:rPr>
                <w:rFonts w:hint="eastAsia" w:ascii="Times New Roman" w:hAnsi="Times New Roman"/>
                <w:sz w:val="20"/>
                <w:lang w:val="en-US" w:eastAsia="zh-CN"/>
              </w:rPr>
              <w:t>B</w:t>
            </w:r>
            <w:r>
              <w:rPr>
                <w:rFonts w:hint="eastAsia" w:ascii="Times New Roman" w:hAnsi="Times New Roman"/>
                <w:sz w:val="20"/>
                <w:lang w:val="en-US" w:eastAsia="zh-CN"/>
              </w:rPr>
              <w:t>厂商</w:t>
            </w:r>
            <w:r>
              <w:rPr>
                <w:rFonts w:ascii="Times New Roman" w:hAnsi="Times New Roman" w:eastAsia="宋体"/>
                <w:sz w:val="20"/>
              </w:rPr>
              <w:t>V3.</w:t>
            </w:r>
            <w:r>
              <w:rPr>
                <w:rFonts w:hint="eastAsia" w:ascii="Times New Roman" w:hAnsi="Times New Roman"/>
                <w:sz w:val="20"/>
                <w:lang w:val="en-US" w:eastAsia="zh-CN"/>
              </w:rPr>
              <w:t>4</w:t>
            </w:r>
          </w:p>
        </w:tc>
        <w:tc>
          <w:tcPr>
            <w:tcW w:w="1230" w:type="dxa"/>
          </w:tcPr>
          <w:p w14:paraId="3B74657C">
            <w:r>
              <w:rPr>
                <w:rFonts w:ascii="Times New Roman" w:hAnsi="Times New Roman" w:eastAsia="宋体"/>
                <w:sz w:val="20"/>
              </w:rPr>
              <w:t>2024年</w:t>
            </w:r>
          </w:p>
        </w:tc>
      </w:tr>
    </w:tbl>
    <w:p w14:paraId="03038E1F"/>
    <w:p w14:paraId="48E99E4D">
      <w:pPr>
        <w:spacing w:before="0" w:after="120" w:line="240" w:lineRule="auto"/>
      </w:pPr>
      <w:r>
        <w:rPr>
          <w:rFonts w:ascii="Times New Roman" w:hAnsi="Times New Roman" w:eastAsia="宋体"/>
          <w:b w:val="0"/>
          <w:sz w:val="21"/>
        </w:rPr>
        <w:t>注：表中"接入平台时间"指各医院首次接入集团互联网医疗服务体系的年份</w:t>
      </w:r>
    </w:p>
    <w:p w14:paraId="1C2B29D0">
      <w:pPr>
        <w:spacing w:before="0" w:after="0" w:line="400" w:lineRule="exact"/>
        <w:ind w:firstLine="480"/>
        <w:jc w:val="both"/>
      </w:pPr>
      <w:r>
        <w:rPr>
          <w:rFonts w:ascii="Times New Roman" w:hAnsi="Times New Roman" w:eastAsia="宋体"/>
          <w:b w:val="0"/>
          <w:sz w:val="24"/>
        </w:rPr>
        <w:t>医院A为集团</w:t>
      </w:r>
      <w:r>
        <w:rPr>
          <w:rFonts w:hint="eastAsia" w:ascii="Times New Roman" w:hAnsi="Times New Roman"/>
          <w:b w:val="0"/>
          <w:sz w:val="24"/>
          <w:lang w:eastAsia="zh-CN"/>
        </w:rPr>
        <w:t>标杆医院</w:t>
      </w:r>
      <w:r>
        <w:rPr>
          <w:rFonts w:ascii="Times New Roman" w:hAnsi="Times New Roman" w:eastAsia="宋体"/>
          <w:b w:val="0"/>
          <w:sz w:val="24"/>
        </w:rPr>
        <w:t>，综合实力最强，在心脑血管疾病诊疗、微创外科等领域具有区域领先优势。其心内科年介入手术量超过3000台，神经外科在脑血管病的微创治疗方面处于省内领先水平。医院A的门急诊量和住院量在集团内均排名第一，是集团品牌影响力和医疗技术水平的集中体现。</w:t>
      </w:r>
    </w:p>
    <w:p w14:paraId="1748B376">
      <w:pPr>
        <w:spacing w:before="0" w:after="0" w:line="400" w:lineRule="exact"/>
        <w:ind w:firstLine="480"/>
        <w:jc w:val="both"/>
      </w:pPr>
      <w:r>
        <w:rPr>
          <w:rFonts w:ascii="Times New Roman" w:hAnsi="Times New Roman" w:eastAsia="宋体"/>
          <w:b w:val="0"/>
          <w:sz w:val="24"/>
        </w:rPr>
        <w:t>医院B以妇产儿科和肿瘤诊疗为特色。其产科年分娩量超过8000例，是本地区最大的孕产妇诊疗中心之一；肿瘤科设有放疗中心，配备直线加速器等大型设备，在肺癌和乳腺癌的综合治疗方面积累了丰富的临床经验。</w:t>
      </w:r>
    </w:p>
    <w:p w14:paraId="17FFD503">
      <w:pPr>
        <w:spacing w:before="0" w:after="0" w:line="400" w:lineRule="exact"/>
        <w:ind w:firstLine="480"/>
        <w:jc w:val="both"/>
      </w:pPr>
      <w:r>
        <w:rPr>
          <w:rFonts w:ascii="Times New Roman" w:hAnsi="Times New Roman" w:eastAsia="宋体"/>
          <w:b w:val="0"/>
          <w:sz w:val="24"/>
        </w:rPr>
        <w:t>医院C侧重骨科和康复医学。其骨科在关节置换和脊柱微创手术方面具有技术优势，年手术量超过2000台。康复医学科拥有完整的物理治疗、作业治疗和言语治疗设施</w:t>
      </w:r>
      <w:r>
        <w:rPr>
          <w:rFonts w:ascii="Times New Roman" w:hAnsi="Times New Roman" w:eastAsia="宋体"/>
          <w:b w:val="0"/>
          <w:sz w:val="24"/>
        </w:rPr>
        <w:t>。</w:t>
      </w:r>
    </w:p>
    <w:p w14:paraId="47F3CE79">
      <w:pPr>
        <w:spacing w:before="0" w:after="0" w:line="400" w:lineRule="exact"/>
        <w:ind w:firstLine="480"/>
        <w:jc w:val="both"/>
      </w:pPr>
      <w:r>
        <w:rPr>
          <w:rFonts w:ascii="Times New Roman" w:hAnsi="Times New Roman" w:eastAsia="宋体"/>
          <w:b w:val="0"/>
          <w:sz w:val="24"/>
        </w:rPr>
        <w:t>医院D</w:t>
      </w:r>
      <w:r>
        <w:rPr>
          <w:rFonts w:hint="eastAsia" w:ascii="Times New Roman" w:hAnsi="Times New Roman"/>
          <w:b w:val="0"/>
          <w:sz w:val="24"/>
          <w:lang w:eastAsia="zh-CN"/>
        </w:rPr>
        <w:t>、</w:t>
      </w:r>
      <w:r>
        <w:rPr>
          <w:rFonts w:hint="eastAsia" w:ascii="Times New Roman" w:hAnsi="Times New Roman"/>
          <w:b w:val="0"/>
          <w:sz w:val="24"/>
          <w:lang w:val="en-US" w:eastAsia="zh-CN"/>
        </w:rPr>
        <w:t>E</w:t>
      </w:r>
      <w:r>
        <w:rPr>
          <w:rFonts w:hint="eastAsia" w:ascii="Times New Roman" w:hAnsi="Times New Roman"/>
          <w:b w:val="0"/>
          <w:sz w:val="24"/>
          <w:lang w:val="en-US" w:eastAsia="zh-CN"/>
        </w:rPr>
        <w:t>均</w:t>
      </w:r>
      <w:r>
        <w:rPr>
          <w:rFonts w:ascii="Times New Roman" w:hAnsi="Times New Roman" w:eastAsia="宋体"/>
          <w:b w:val="0"/>
          <w:sz w:val="24"/>
        </w:rPr>
        <w:t>为集团旗下的</w:t>
      </w:r>
      <w:r>
        <w:rPr>
          <w:rFonts w:hint="eastAsia" w:ascii="Times New Roman" w:hAnsi="Times New Roman"/>
          <w:b w:val="0"/>
          <w:sz w:val="24"/>
          <w:lang w:val="en-US" w:eastAsia="zh-CN"/>
        </w:rPr>
        <w:t>二甲</w:t>
      </w:r>
      <w:r>
        <w:rPr>
          <w:rFonts w:hint="eastAsia" w:ascii="Times New Roman" w:hAnsi="Times New Roman"/>
          <w:b w:val="0"/>
          <w:sz w:val="24"/>
          <w:lang w:val="en-US" w:eastAsia="zh-CN"/>
        </w:rPr>
        <w:t>综合</w:t>
      </w:r>
      <w:r>
        <w:rPr>
          <w:rFonts w:ascii="Times New Roman" w:hAnsi="Times New Roman" w:eastAsia="宋体"/>
          <w:b w:val="0"/>
          <w:sz w:val="24"/>
        </w:rPr>
        <w:t>医院，</w:t>
      </w:r>
      <w:r>
        <w:rPr>
          <w:rFonts w:hint="eastAsia" w:ascii="Times New Roman" w:hAnsi="Times New Roman"/>
          <w:b w:val="0"/>
          <w:sz w:val="24"/>
          <w:lang w:val="en-US" w:eastAsia="zh-CN"/>
        </w:rPr>
        <w:t>分别</w:t>
      </w:r>
      <w:r>
        <w:rPr>
          <w:rFonts w:hint="eastAsia" w:ascii="Times New Roman" w:hAnsi="Times New Roman"/>
          <w:b w:val="0"/>
          <w:sz w:val="24"/>
          <w:lang w:val="en-US" w:eastAsia="zh-CN"/>
        </w:rPr>
        <w:t>在</w:t>
      </w:r>
      <w:r>
        <w:rPr>
          <w:rFonts w:hint="eastAsia" w:ascii="Times New Roman" w:hAnsi="Times New Roman"/>
          <w:b w:val="0"/>
          <w:sz w:val="24"/>
          <w:lang w:val="en-US" w:eastAsia="zh-CN"/>
        </w:rPr>
        <w:t>心血管</w:t>
      </w:r>
      <w:r>
        <w:rPr>
          <w:rFonts w:hint="eastAsia" w:ascii="Times New Roman" w:hAnsi="Times New Roman"/>
          <w:b w:val="0"/>
          <w:sz w:val="24"/>
          <w:lang w:val="en-US" w:eastAsia="zh-CN"/>
        </w:rPr>
        <w:t>和</w:t>
      </w:r>
      <w:r>
        <w:rPr>
          <w:rFonts w:hint="eastAsia" w:ascii="Times New Roman" w:hAnsi="Times New Roman"/>
          <w:b w:val="0"/>
          <w:sz w:val="24"/>
          <w:lang w:val="en-US" w:eastAsia="zh-CN"/>
        </w:rPr>
        <w:t>呼吸内科</w:t>
      </w:r>
      <w:r>
        <w:rPr>
          <w:rFonts w:hint="eastAsia" w:ascii="Times New Roman" w:hAnsi="Times New Roman"/>
          <w:b w:val="0"/>
          <w:sz w:val="24"/>
          <w:lang w:val="en-US" w:eastAsia="zh-CN"/>
        </w:rPr>
        <w:t>、</w:t>
      </w:r>
      <w:r>
        <w:rPr>
          <w:rFonts w:hint="eastAsia" w:ascii="Times New Roman" w:hAnsi="Times New Roman"/>
          <w:b w:val="0"/>
          <w:sz w:val="24"/>
          <w:lang w:val="en-US" w:eastAsia="zh-CN"/>
        </w:rPr>
        <w:t>口腔</w:t>
      </w:r>
      <w:r>
        <w:rPr>
          <w:rFonts w:hint="eastAsia" w:ascii="Times New Roman" w:hAnsi="Times New Roman"/>
          <w:b w:val="0"/>
          <w:sz w:val="24"/>
          <w:lang w:val="en-US" w:eastAsia="zh-CN"/>
        </w:rPr>
        <w:t>及</w:t>
      </w:r>
      <w:r>
        <w:rPr>
          <w:rFonts w:hint="eastAsia" w:ascii="Times New Roman" w:hAnsi="Times New Roman"/>
          <w:b w:val="0"/>
          <w:sz w:val="24"/>
          <w:lang w:val="en-US" w:eastAsia="zh-CN"/>
        </w:rPr>
        <w:t>老年</w:t>
      </w:r>
      <w:r>
        <w:rPr>
          <w:rFonts w:hint="eastAsia" w:ascii="Times New Roman" w:hAnsi="Times New Roman"/>
          <w:b w:val="0"/>
          <w:sz w:val="24"/>
          <w:lang w:val="en-US" w:eastAsia="zh-CN"/>
        </w:rPr>
        <w:t>护理</w:t>
      </w:r>
      <w:r>
        <w:rPr>
          <w:rFonts w:hint="eastAsia" w:ascii="Times New Roman" w:hAnsi="Times New Roman"/>
          <w:b w:val="0"/>
          <w:sz w:val="24"/>
          <w:lang w:val="en-US" w:eastAsia="zh-CN"/>
        </w:rPr>
        <w:t>方面</w:t>
      </w:r>
      <w:r>
        <w:rPr>
          <w:rFonts w:hint="eastAsia" w:ascii="Times New Roman" w:hAnsi="Times New Roman"/>
          <w:b w:val="0"/>
          <w:sz w:val="24"/>
          <w:lang w:val="en-US" w:eastAsia="zh-CN"/>
        </w:rPr>
        <w:t>有</w:t>
      </w:r>
      <w:r>
        <w:rPr>
          <w:rFonts w:hint="eastAsia" w:ascii="Times New Roman" w:hAnsi="Times New Roman"/>
          <w:b w:val="0"/>
          <w:sz w:val="24"/>
          <w:lang w:val="en-US" w:eastAsia="zh-CN"/>
        </w:rPr>
        <w:t>其</w:t>
      </w:r>
      <w:r>
        <w:rPr>
          <w:rFonts w:hint="eastAsia" w:ascii="Times New Roman" w:hAnsi="Times New Roman"/>
          <w:b w:val="0"/>
          <w:sz w:val="24"/>
          <w:lang w:val="en-US" w:eastAsia="zh-CN"/>
        </w:rPr>
        <w:t>特色</w:t>
      </w:r>
      <w:r>
        <w:rPr>
          <w:rFonts w:ascii="Times New Roman" w:hAnsi="Times New Roman" w:eastAsia="宋体"/>
          <w:b w:val="0"/>
          <w:sz w:val="24"/>
        </w:rPr>
        <w:t>。两家</w:t>
      </w:r>
      <w:r>
        <w:rPr>
          <w:rFonts w:hint="eastAsia" w:ascii="Times New Roman" w:hAnsi="Times New Roman"/>
          <w:b w:val="0"/>
          <w:sz w:val="24"/>
          <w:lang w:val="en-US" w:eastAsia="zh-CN"/>
        </w:rPr>
        <w:t>二级</w:t>
      </w:r>
      <w:r>
        <w:rPr>
          <w:rFonts w:ascii="Times New Roman" w:hAnsi="Times New Roman" w:eastAsia="宋体"/>
          <w:b w:val="0"/>
          <w:sz w:val="24"/>
        </w:rPr>
        <w:t>医院的体量虽小，但</w:t>
      </w:r>
      <w:r>
        <w:rPr>
          <w:rFonts w:hint="eastAsia" w:ascii="Times New Roman" w:hAnsi="Times New Roman"/>
          <w:b w:val="0"/>
          <w:sz w:val="24"/>
          <w:lang w:val="en-US" w:eastAsia="zh-CN"/>
        </w:rPr>
        <w:t>专业</w:t>
      </w:r>
      <w:r>
        <w:rPr>
          <w:rFonts w:ascii="Times New Roman" w:hAnsi="Times New Roman" w:eastAsia="宋体"/>
          <w:b w:val="0"/>
          <w:sz w:val="24"/>
        </w:rPr>
        <w:t>学科聚焦度高，在各自</w:t>
      </w:r>
      <w:r>
        <w:rPr>
          <w:rFonts w:hint="eastAsia" w:ascii="Times New Roman" w:hAnsi="Times New Roman"/>
          <w:b w:val="0"/>
          <w:sz w:val="24"/>
          <w:lang w:val="en-US" w:eastAsia="zh-CN"/>
        </w:rPr>
        <w:t>擅长</w:t>
      </w:r>
      <w:r>
        <w:rPr>
          <w:rFonts w:hint="eastAsia" w:ascii="Times New Roman" w:hAnsi="Times New Roman"/>
          <w:b w:val="0"/>
          <w:sz w:val="24"/>
          <w:lang w:val="en-US" w:eastAsia="zh-CN"/>
        </w:rPr>
        <w:t>的</w:t>
      </w:r>
      <w:r>
        <w:rPr>
          <w:rFonts w:ascii="Times New Roman" w:hAnsi="Times New Roman" w:eastAsia="宋体"/>
          <w:b w:val="0"/>
          <w:sz w:val="24"/>
        </w:rPr>
        <w:t>领域具有较强的竞争力。</w:t>
      </w:r>
    </w:p>
    <w:p w14:paraId="6182C34B">
      <w:pPr>
        <w:spacing w:before="0" w:after="0" w:line="400" w:lineRule="exact"/>
        <w:ind w:firstLine="480"/>
        <w:jc w:val="both"/>
      </w:pPr>
      <w:r>
        <w:rPr>
          <w:rFonts w:ascii="Times New Roman" w:hAnsi="Times New Roman" w:eastAsia="宋体"/>
          <w:b w:val="0"/>
          <w:sz w:val="24"/>
        </w:rPr>
        <w:t>三家</w:t>
      </w:r>
      <w:r>
        <w:rPr>
          <w:rFonts w:hint="eastAsia" w:ascii="Times New Roman" w:hAnsi="Times New Roman"/>
          <w:b w:val="0"/>
          <w:sz w:val="24"/>
          <w:lang w:val="en-US" w:eastAsia="zh-CN"/>
        </w:rPr>
        <w:t>三甲</w:t>
      </w:r>
      <w:r>
        <w:rPr>
          <w:rFonts w:ascii="Times New Roman" w:hAnsi="Times New Roman" w:eastAsia="宋体"/>
          <w:b w:val="0"/>
          <w:sz w:val="24"/>
        </w:rPr>
        <w:t>综合医院</w:t>
      </w:r>
      <w:r>
        <w:rPr>
          <w:rFonts w:ascii="Times New Roman" w:hAnsi="Times New Roman" w:eastAsia="宋体"/>
          <w:b w:val="0"/>
          <w:sz w:val="24"/>
        </w:rPr>
        <w:t>形成了学科互补的基础。</w:t>
      </w:r>
      <w:r>
        <w:rPr>
          <w:rFonts w:ascii="Times New Roman" w:hAnsi="Times New Roman" w:eastAsia="宋体"/>
          <w:b w:val="0"/>
          <w:sz w:val="24"/>
        </w:rPr>
        <w:t>然而，由于各医院原属不同的管理体制，在被集团整合之前的信息化建设路径各不相同，目前的信息系统架构存在显著差异——医院A使用</w:t>
      </w:r>
      <w:r>
        <w:rPr>
          <w:rFonts w:hint="eastAsia" w:ascii="Times New Roman" w:hAnsi="Times New Roman"/>
          <w:b w:val="0"/>
          <w:sz w:val="24"/>
          <w:lang w:val="en-US" w:eastAsia="zh-CN"/>
        </w:rPr>
        <w:t>A</w:t>
      </w:r>
      <w:r>
        <w:rPr>
          <w:rFonts w:hint="eastAsia" w:ascii="Times New Roman" w:hAnsi="Times New Roman"/>
          <w:b w:val="0"/>
          <w:sz w:val="24"/>
          <w:lang w:val="en-US" w:eastAsia="zh-CN"/>
        </w:rPr>
        <w:t>厂商</w:t>
      </w:r>
      <w:r>
        <w:rPr>
          <w:rFonts w:ascii="Times New Roman" w:hAnsi="Times New Roman" w:eastAsia="宋体"/>
          <w:b w:val="0"/>
          <w:sz w:val="24"/>
        </w:rPr>
        <w:t>V5.2版本（国内某头部医疗IT厂商），医院B和</w:t>
      </w:r>
      <w:r>
        <w:rPr>
          <w:rFonts w:hint="eastAsia" w:ascii="Times New Roman" w:hAnsi="Times New Roman"/>
          <w:b w:val="0"/>
          <w:sz w:val="24"/>
          <w:lang w:val="en-US" w:eastAsia="zh-CN"/>
        </w:rPr>
        <w:t>医院</w:t>
      </w:r>
      <w:r>
        <w:rPr>
          <w:rFonts w:hint="eastAsia" w:ascii="Times New Roman" w:hAnsi="Times New Roman"/>
          <w:b w:val="0"/>
          <w:sz w:val="24"/>
          <w:lang w:val="en-US" w:eastAsia="zh-CN"/>
        </w:rPr>
        <w:t>D</w:t>
      </w:r>
      <w:r>
        <w:rPr>
          <w:rFonts w:hint="eastAsia" w:ascii="Times New Roman" w:hAnsi="Times New Roman"/>
          <w:b w:val="0"/>
          <w:sz w:val="24"/>
          <w:lang w:val="en-US" w:eastAsia="zh-CN"/>
        </w:rPr>
        <w:t>、</w:t>
      </w:r>
      <w:r>
        <w:rPr>
          <w:rFonts w:hint="eastAsia" w:ascii="Times New Roman" w:hAnsi="Times New Roman"/>
          <w:b w:val="0"/>
          <w:sz w:val="24"/>
          <w:lang w:val="en-US" w:eastAsia="zh-CN"/>
        </w:rPr>
        <w:t>E</w:t>
      </w:r>
      <w:r>
        <w:rPr>
          <w:rFonts w:hint="eastAsia" w:ascii="Times New Roman" w:hAnsi="Times New Roman"/>
          <w:b w:val="0"/>
          <w:sz w:val="24"/>
          <w:lang w:val="en-US" w:eastAsia="zh-CN"/>
        </w:rPr>
        <w:t>分别</w:t>
      </w:r>
      <w:r>
        <w:rPr>
          <w:rFonts w:ascii="Times New Roman" w:hAnsi="Times New Roman" w:eastAsia="宋体"/>
          <w:b w:val="0"/>
          <w:sz w:val="24"/>
        </w:rPr>
        <w:t>使用</w:t>
      </w:r>
      <w:r>
        <w:rPr>
          <w:rFonts w:hint="eastAsia" w:ascii="Times New Roman" w:hAnsi="Times New Roman"/>
          <w:b w:val="0"/>
          <w:sz w:val="24"/>
          <w:lang w:val="en-US" w:eastAsia="zh-CN"/>
        </w:rPr>
        <w:t>B</w:t>
      </w:r>
      <w:r>
        <w:rPr>
          <w:rFonts w:hint="eastAsia" w:ascii="Times New Roman" w:hAnsi="Times New Roman"/>
          <w:b w:val="0"/>
          <w:sz w:val="24"/>
          <w:lang w:val="en-US" w:eastAsia="zh-CN"/>
        </w:rPr>
        <w:t>厂商</w:t>
      </w:r>
      <w:r>
        <w:rPr>
          <w:rFonts w:ascii="Times New Roman" w:hAnsi="Times New Roman" w:eastAsia="宋体"/>
          <w:b w:val="0"/>
          <w:sz w:val="24"/>
        </w:rPr>
        <w:t>V3.8</w:t>
      </w:r>
      <w:r>
        <w:rPr>
          <w:rFonts w:hint="eastAsia" w:ascii="Times New Roman" w:hAnsi="Times New Roman"/>
          <w:b w:val="0"/>
          <w:sz w:val="24"/>
          <w:lang w:eastAsia="zh-CN"/>
        </w:rPr>
        <w:t>、</w:t>
      </w:r>
      <w:r>
        <w:rPr>
          <w:rFonts w:hint="eastAsia" w:ascii="Times New Roman" w:hAnsi="Times New Roman"/>
          <w:b w:val="0"/>
          <w:sz w:val="24"/>
          <w:lang w:val="en-US" w:eastAsia="zh-CN"/>
        </w:rPr>
        <w:t>V</w:t>
      </w:r>
      <w:r>
        <w:rPr>
          <w:rFonts w:hint="eastAsia" w:ascii="Times New Roman" w:hAnsi="Times New Roman"/>
          <w:b w:val="0"/>
          <w:sz w:val="24"/>
          <w:lang w:val="en-US" w:eastAsia="zh-CN"/>
        </w:rPr>
        <w:t>3.</w:t>
      </w:r>
      <w:r>
        <w:rPr>
          <w:rFonts w:hint="eastAsia" w:ascii="Times New Roman" w:hAnsi="Times New Roman"/>
          <w:b w:val="0"/>
          <w:sz w:val="24"/>
          <w:lang w:val="en-US" w:eastAsia="zh-CN"/>
        </w:rPr>
        <w:t>5</w:t>
      </w:r>
      <w:r>
        <w:rPr>
          <w:rFonts w:hint="eastAsia" w:ascii="Times New Roman" w:hAnsi="Times New Roman"/>
          <w:b w:val="0"/>
          <w:sz w:val="24"/>
          <w:lang w:val="en-US" w:eastAsia="zh-CN"/>
        </w:rPr>
        <w:t>、</w:t>
      </w:r>
      <w:r>
        <w:rPr>
          <w:rFonts w:hint="eastAsia" w:ascii="Times New Roman" w:hAnsi="Times New Roman"/>
          <w:b w:val="0"/>
          <w:sz w:val="24"/>
          <w:lang w:val="en-US" w:eastAsia="zh-CN"/>
        </w:rPr>
        <w:t>V3</w:t>
      </w:r>
      <w:r>
        <w:rPr>
          <w:rFonts w:hint="eastAsia" w:ascii="Times New Roman" w:hAnsi="Times New Roman"/>
          <w:b w:val="0"/>
          <w:sz w:val="24"/>
          <w:lang w:val="en-US" w:eastAsia="zh-CN"/>
        </w:rPr>
        <w:t>.</w:t>
      </w:r>
      <w:r>
        <w:rPr>
          <w:rFonts w:hint="eastAsia" w:ascii="Times New Roman" w:hAnsi="Times New Roman"/>
          <w:b w:val="0"/>
          <w:sz w:val="24"/>
          <w:lang w:val="en-US" w:eastAsia="zh-CN"/>
        </w:rPr>
        <w:t>4</w:t>
      </w:r>
      <w:r>
        <w:rPr>
          <w:rFonts w:ascii="Times New Roman" w:hAnsi="Times New Roman" w:eastAsia="宋体"/>
          <w:b w:val="0"/>
          <w:sz w:val="24"/>
        </w:rPr>
        <w:t>版本</w:t>
      </w:r>
      <w:r>
        <w:rPr>
          <w:rFonts w:ascii="Times New Roman" w:hAnsi="Times New Roman" w:eastAsia="宋体"/>
          <w:b w:val="0"/>
          <w:sz w:val="24"/>
        </w:rPr>
        <w:t>，医院C使用</w:t>
      </w:r>
      <w:r>
        <w:rPr>
          <w:rFonts w:hint="eastAsia" w:ascii="Times New Roman" w:hAnsi="Times New Roman"/>
          <w:b w:val="0"/>
          <w:sz w:val="24"/>
          <w:lang w:val="en-US" w:eastAsia="zh-CN"/>
        </w:rPr>
        <w:t>C</w:t>
      </w:r>
      <w:r>
        <w:rPr>
          <w:rFonts w:hint="eastAsia" w:ascii="Times New Roman" w:hAnsi="Times New Roman"/>
          <w:b w:val="0"/>
          <w:sz w:val="24"/>
          <w:lang w:val="en-US" w:eastAsia="zh-CN"/>
        </w:rPr>
        <w:t>厂商</w:t>
      </w:r>
      <w:r>
        <w:rPr>
          <w:rFonts w:ascii="Times New Roman" w:hAnsi="Times New Roman" w:eastAsia="宋体"/>
          <w:b w:val="0"/>
          <w:sz w:val="24"/>
        </w:rPr>
        <w:t>V</w:t>
      </w:r>
      <w:r>
        <w:rPr>
          <w:rFonts w:hint="eastAsia" w:ascii="Times New Roman" w:hAnsi="Times New Roman"/>
          <w:b w:val="0"/>
          <w:sz w:val="24"/>
          <w:lang w:val="en-US" w:eastAsia="zh-CN"/>
        </w:rPr>
        <w:t>4</w:t>
      </w:r>
      <w:r>
        <w:rPr>
          <w:rFonts w:ascii="Times New Roman" w:hAnsi="Times New Roman" w:eastAsia="宋体"/>
          <w:b w:val="0"/>
          <w:sz w:val="24"/>
        </w:rPr>
        <w:t>.5版本</w:t>
      </w:r>
      <w:r>
        <w:rPr>
          <w:rFonts w:ascii="Times New Roman" w:hAnsi="Times New Roman" w:eastAsia="宋体"/>
          <w:b w:val="0"/>
          <w:sz w:val="24"/>
        </w:rPr>
        <w:t>。这</w:t>
      </w:r>
      <w:r>
        <w:rPr>
          <w:rFonts w:hint="eastAsia" w:ascii="Times New Roman" w:hAnsi="Times New Roman"/>
          <w:b w:val="0"/>
          <w:sz w:val="24"/>
          <w:lang w:val="en-US" w:eastAsia="zh-CN"/>
        </w:rPr>
        <w:t>三个</w:t>
      </w:r>
      <w:r>
        <w:rPr>
          <w:rFonts w:hint="eastAsia" w:ascii="Times New Roman" w:hAnsi="Times New Roman"/>
          <w:b w:val="0"/>
          <w:sz w:val="24"/>
          <w:lang w:val="en-US" w:eastAsia="zh-CN"/>
        </w:rPr>
        <w:t>厂商</w:t>
      </w:r>
      <w:r>
        <w:rPr>
          <w:rFonts w:hint="eastAsia" w:ascii="Times New Roman" w:hAnsi="Times New Roman"/>
          <w:b w:val="0"/>
          <w:sz w:val="24"/>
          <w:lang w:val="en-US" w:eastAsia="zh-CN"/>
        </w:rPr>
        <w:t>五</w:t>
      </w:r>
      <w:r>
        <w:rPr>
          <w:rFonts w:ascii="Times New Roman" w:hAnsi="Times New Roman" w:eastAsia="宋体"/>
          <w:b w:val="0"/>
          <w:sz w:val="24"/>
        </w:rPr>
        <w:t>个版本的HIS系统在数据模型、接口标准和业务流程设计上</w:t>
      </w:r>
      <w:r>
        <w:rPr>
          <w:rFonts w:hint="eastAsia" w:ascii="Times New Roman" w:hAnsi="Times New Roman"/>
          <w:b w:val="0"/>
          <w:sz w:val="24"/>
          <w:lang w:val="en-US" w:eastAsia="zh-CN"/>
        </w:rPr>
        <w:t>均</w:t>
      </w:r>
      <w:r>
        <w:rPr>
          <w:rFonts w:ascii="Times New Roman" w:hAnsi="Times New Roman" w:eastAsia="宋体"/>
          <w:b w:val="0"/>
          <w:sz w:val="24"/>
        </w:rPr>
        <w:t>存在根本性差异，为后续的多院区业务协同带来了结构性挑战。</w:t>
      </w:r>
    </w:p>
    <w:p w14:paraId="178BB023">
      <w:pPr>
        <w:spacing w:before="0" w:after="0" w:line="400" w:lineRule="exact"/>
        <w:ind w:firstLine="480"/>
        <w:jc w:val="both"/>
      </w:pPr>
      <w:r>
        <w:rPr>
          <w:rFonts w:ascii="Times New Roman" w:hAnsi="Times New Roman" w:eastAsia="宋体"/>
          <w:b w:val="0"/>
          <w:sz w:val="24"/>
        </w:rPr>
        <w:t>A医药集团的组织架构在集团层面采用"集团—医院"两级管理模式。集团层面设置运营管理部、</w:t>
      </w:r>
      <w:r>
        <w:rPr>
          <w:rFonts w:hint="eastAsia" w:ascii="Times New Roman" w:hAnsi="Times New Roman"/>
          <w:b w:val="0"/>
          <w:sz w:val="24"/>
          <w:lang w:val="en-US" w:eastAsia="zh-CN"/>
        </w:rPr>
        <w:t>数字管理</w:t>
      </w:r>
      <w:r>
        <w:rPr>
          <w:rFonts w:ascii="Times New Roman" w:hAnsi="Times New Roman" w:eastAsia="宋体"/>
          <w:b w:val="0"/>
          <w:sz w:val="24"/>
        </w:rPr>
        <w:t>部、财务部、人力资源部等职能部门，负责战略规划、资源配置和绩效管控；各医院作为独立法人运营，拥有相对完整的行政管理体系和临床科室设置。在此基础上，互联网医院平台自身</w:t>
      </w:r>
      <w:r>
        <w:rPr>
          <w:rFonts w:hint="eastAsia" w:ascii="Times New Roman" w:hAnsi="Times New Roman"/>
          <w:b w:val="0"/>
          <w:sz w:val="24"/>
          <w:lang w:val="en-US" w:eastAsia="zh-CN"/>
        </w:rPr>
        <w:t>有</w:t>
      </w:r>
      <w:r>
        <w:rPr>
          <w:rFonts w:hint="eastAsia" w:ascii="Times New Roman" w:hAnsi="Times New Roman"/>
          <w:b w:val="0"/>
          <w:sz w:val="24"/>
          <w:lang w:val="en-US" w:eastAsia="zh-CN"/>
        </w:rPr>
        <w:t>产品</w:t>
      </w:r>
      <w:r>
        <w:rPr>
          <w:rFonts w:hint="eastAsia" w:ascii="Times New Roman" w:hAnsi="Times New Roman"/>
          <w:b w:val="0"/>
          <w:sz w:val="24"/>
          <w:lang w:val="en-US" w:eastAsia="zh-CN"/>
        </w:rPr>
        <w:t>部</w:t>
      </w:r>
      <w:r>
        <w:rPr>
          <w:rFonts w:hint="eastAsia" w:ascii="Times New Roman" w:hAnsi="Times New Roman"/>
          <w:b w:val="0"/>
          <w:sz w:val="24"/>
          <w:lang w:val="en-US" w:eastAsia="zh-CN"/>
        </w:rPr>
        <w:t>门、</w:t>
      </w:r>
      <w:r>
        <w:rPr>
          <w:rFonts w:hint="eastAsia" w:ascii="Times New Roman" w:hAnsi="Times New Roman"/>
          <w:b w:val="0"/>
          <w:sz w:val="24"/>
          <w:lang w:val="en-US" w:eastAsia="zh-CN"/>
        </w:rPr>
        <w:t>运营</w:t>
      </w:r>
      <w:r>
        <w:rPr>
          <w:rFonts w:hint="eastAsia" w:ascii="Times New Roman" w:hAnsi="Times New Roman"/>
          <w:b w:val="0"/>
          <w:sz w:val="24"/>
          <w:lang w:val="en-US" w:eastAsia="zh-CN"/>
        </w:rPr>
        <w:t>部门</w:t>
      </w:r>
      <w:r>
        <w:rPr>
          <w:rFonts w:hint="eastAsia" w:ascii="Times New Roman" w:hAnsi="Times New Roman"/>
          <w:b w:val="0"/>
          <w:sz w:val="24"/>
          <w:lang w:val="en-US" w:eastAsia="zh-CN"/>
        </w:rPr>
        <w:t>、</w:t>
      </w:r>
      <w:r>
        <w:rPr>
          <w:rFonts w:hint="eastAsia" w:ascii="Times New Roman" w:hAnsi="Times New Roman"/>
          <w:b w:val="0"/>
          <w:sz w:val="24"/>
          <w:lang w:val="en-US" w:eastAsia="zh-CN"/>
        </w:rPr>
        <w:t>技术</w:t>
      </w:r>
      <w:r>
        <w:rPr>
          <w:rFonts w:hint="eastAsia" w:ascii="Times New Roman" w:hAnsi="Times New Roman"/>
          <w:b w:val="0"/>
          <w:sz w:val="24"/>
          <w:lang w:val="en-US" w:eastAsia="zh-CN"/>
        </w:rPr>
        <w:t>部门</w:t>
      </w:r>
      <w:r>
        <w:rPr>
          <w:rFonts w:hint="eastAsia" w:ascii="Times New Roman" w:hAnsi="Times New Roman"/>
          <w:b w:val="0"/>
          <w:sz w:val="24"/>
          <w:lang w:val="en-US" w:eastAsia="zh-CN"/>
        </w:rPr>
        <w:t>等</w:t>
      </w:r>
      <w:r>
        <w:rPr>
          <w:rFonts w:ascii="Times New Roman" w:hAnsi="Times New Roman" w:eastAsia="宋体"/>
          <w:b w:val="0"/>
          <w:sz w:val="24"/>
        </w:rPr>
        <w:t>，各医院信息科负责本院HIS（医院信息系统）、LIS（检验信息系统）、PACS（影像归档与通信系统）等院内系统的日常管理。这种多层级管理模式在保障各医院运营自主权的同时，也对跨院区的信息系统整合和流程标准化提出了更高的协调要求。</w:t>
      </w:r>
    </w:p>
    <w:p w14:paraId="6E0FDBD3">
      <w:pPr>
        <w:spacing w:before="240" w:after="120" w:line="240" w:lineRule="auto"/>
        <w:ind w:firstLine="520"/>
        <w:outlineLvl w:val="2"/>
      </w:pPr>
      <w:bookmarkStart w:id="34" w:name="_Toc11300"/>
      <w:r>
        <w:rPr>
          <w:rFonts w:ascii="Times New Roman" w:hAnsi="Times New Roman" w:eastAsia="黑体"/>
          <w:b/>
          <w:sz w:val="26"/>
        </w:rPr>
        <w:t>二、互联网医院平台建设历程</w:t>
      </w:r>
      <w:bookmarkEnd w:id="34"/>
    </w:p>
    <w:p w14:paraId="113E6744">
      <w:pPr>
        <w:spacing w:before="0" w:after="0" w:line="400" w:lineRule="exact"/>
        <w:ind w:firstLine="480"/>
        <w:jc w:val="both"/>
      </w:pPr>
      <w:r>
        <w:rPr>
          <w:rFonts w:ascii="Times New Roman" w:hAnsi="Times New Roman" w:eastAsia="宋体"/>
          <w:b w:val="0"/>
          <w:sz w:val="24"/>
        </w:rPr>
        <w:t>A医药集团的互联网医院平台</w:t>
      </w:r>
      <w:r>
        <w:rPr>
          <w:rFonts w:hint="eastAsia" w:ascii="Times New Roman" w:hAnsi="Times New Roman"/>
          <w:b w:val="0"/>
          <w:sz w:val="24"/>
          <w:lang w:val="en-US" w:eastAsia="zh-CN"/>
        </w:rPr>
        <w:t>规划</w:t>
      </w:r>
      <w:r>
        <w:rPr>
          <w:rFonts w:ascii="Times New Roman" w:hAnsi="Times New Roman" w:eastAsia="宋体"/>
          <w:b w:val="0"/>
          <w:sz w:val="24"/>
        </w:rPr>
        <w:t>始于20</w:t>
      </w:r>
      <w:r>
        <w:rPr>
          <w:rFonts w:hint="eastAsia" w:ascii="Times New Roman" w:hAnsi="Times New Roman"/>
          <w:b w:val="0"/>
          <w:sz w:val="24"/>
          <w:lang w:val="en-US" w:eastAsia="zh-CN"/>
        </w:rPr>
        <w:t>20</w:t>
      </w:r>
      <w:r>
        <w:rPr>
          <w:rFonts w:ascii="Times New Roman" w:hAnsi="Times New Roman" w:eastAsia="宋体"/>
          <w:b w:val="0"/>
          <w:sz w:val="24"/>
        </w:rPr>
        <w:t>年，可大致划分为三个阶段。</w:t>
      </w:r>
    </w:p>
    <w:p w14:paraId="26CA2230">
      <w:pPr>
        <w:spacing w:before="0" w:after="0" w:line="400" w:lineRule="exact"/>
        <w:ind w:firstLine="480"/>
        <w:jc w:val="both"/>
      </w:pPr>
      <w:r>
        <w:rPr>
          <w:rFonts w:ascii="Times New Roman" w:hAnsi="Times New Roman" w:eastAsia="宋体"/>
          <w:b w:val="0"/>
          <w:sz w:val="24"/>
        </w:rPr>
        <w:t>第一阶段为探索</w:t>
      </w:r>
      <w:r>
        <w:rPr>
          <w:rFonts w:hint="eastAsia" w:ascii="Times New Roman" w:hAnsi="Times New Roman"/>
          <w:b w:val="0"/>
          <w:sz w:val="24"/>
          <w:lang w:val="en-US" w:eastAsia="zh-CN"/>
        </w:rPr>
        <w:t>规划</w:t>
      </w:r>
      <w:r>
        <w:rPr>
          <w:rFonts w:ascii="Times New Roman" w:hAnsi="Times New Roman" w:eastAsia="宋体"/>
          <w:b w:val="0"/>
          <w:sz w:val="24"/>
        </w:rPr>
        <w:t>期（20</w:t>
      </w:r>
      <w:r>
        <w:rPr>
          <w:rFonts w:hint="eastAsia" w:ascii="Times New Roman" w:hAnsi="Times New Roman"/>
          <w:b w:val="0"/>
          <w:sz w:val="24"/>
          <w:lang w:val="en-US" w:eastAsia="zh-CN"/>
        </w:rPr>
        <w:t>20</w:t>
      </w:r>
      <w:r>
        <w:rPr>
          <w:rFonts w:ascii="Times New Roman" w:hAnsi="Times New Roman" w:eastAsia="宋体"/>
          <w:b w:val="0"/>
          <w:sz w:val="24"/>
        </w:rPr>
        <w:t>年至202</w:t>
      </w:r>
      <w:r>
        <w:rPr>
          <w:rFonts w:hint="eastAsia" w:ascii="Times New Roman" w:hAnsi="Times New Roman"/>
          <w:b w:val="0"/>
          <w:sz w:val="24"/>
          <w:lang w:val="en-US" w:eastAsia="zh-CN"/>
        </w:rPr>
        <w:t>1</w:t>
      </w:r>
      <w:r>
        <w:rPr>
          <w:rFonts w:ascii="Times New Roman" w:hAnsi="Times New Roman" w:eastAsia="宋体"/>
          <w:b w:val="0"/>
          <w:sz w:val="24"/>
        </w:rPr>
        <w:t>年上半年）。在这一阶段，集团主要响应国家"互联网+医疗健康"政策导向，委托第三方技术公司开发了一款面向患者端的在线问诊小程序。该阶段平台功能较为单一，仅支持图文问诊和简单的在线预约功能，与医院内部HIS系统的数据交互有限，医生的问诊记录需要事后手动录入院内系统。由于线上线下流程割裂，该阶段平台的使用率较低，月活跃用户不足千人。但这一阶段的关键价值在于完成了集团管理层对互联网医院概念的认知转型——从"可有可无的IT项目"转变为"必须重视的战略方向"。202</w:t>
      </w:r>
      <w:r>
        <w:rPr>
          <w:rFonts w:hint="eastAsia" w:ascii="Times New Roman" w:hAnsi="Times New Roman"/>
          <w:b w:val="0"/>
          <w:sz w:val="24"/>
          <w:lang w:val="en-US" w:eastAsia="zh-CN"/>
        </w:rPr>
        <w:t>1</w:t>
      </w:r>
      <w:r>
        <w:rPr>
          <w:rFonts w:ascii="Times New Roman" w:hAnsi="Times New Roman" w:eastAsia="宋体"/>
          <w:b w:val="0"/>
          <w:sz w:val="24"/>
        </w:rPr>
        <w:t>年初，集团决策层正式将互联网医院列为集团信息化建设的头号工程。</w:t>
      </w:r>
    </w:p>
    <w:p w14:paraId="2E19B31D">
      <w:pPr>
        <w:spacing w:before="0" w:after="0" w:line="400" w:lineRule="exact"/>
        <w:ind w:firstLine="480"/>
        <w:jc w:val="both"/>
      </w:pPr>
      <w:r>
        <w:rPr>
          <w:rFonts w:ascii="Times New Roman" w:hAnsi="Times New Roman" w:eastAsia="宋体"/>
          <w:b w:val="0"/>
          <w:sz w:val="24"/>
        </w:rPr>
        <w:t>第二阶段为功能扩展期（202</w:t>
      </w:r>
      <w:r>
        <w:rPr>
          <w:rFonts w:hint="eastAsia" w:ascii="Times New Roman" w:hAnsi="Times New Roman"/>
          <w:b w:val="0"/>
          <w:sz w:val="24"/>
          <w:lang w:val="en-US" w:eastAsia="zh-CN"/>
        </w:rPr>
        <w:t>1</w:t>
      </w:r>
      <w:r>
        <w:rPr>
          <w:rFonts w:ascii="Times New Roman" w:hAnsi="Times New Roman" w:eastAsia="宋体"/>
          <w:b w:val="0"/>
          <w:sz w:val="24"/>
        </w:rPr>
        <w:t>年下半年至202</w:t>
      </w:r>
      <w:r>
        <w:rPr>
          <w:rFonts w:hint="eastAsia" w:ascii="Times New Roman" w:hAnsi="Times New Roman"/>
          <w:b w:val="0"/>
          <w:sz w:val="24"/>
          <w:lang w:val="en-US" w:eastAsia="zh-CN"/>
        </w:rPr>
        <w:t>3</w:t>
      </w:r>
      <w:r>
        <w:rPr>
          <w:rFonts w:ascii="Times New Roman" w:hAnsi="Times New Roman" w:eastAsia="宋体"/>
          <w:b w:val="0"/>
          <w:sz w:val="24"/>
        </w:rPr>
        <w:t>年）。</w:t>
      </w:r>
      <w:r>
        <w:rPr>
          <w:rFonts w:ascii="Times New Roman" w:hAnsi="Times New Roman" w:eastAsia="宋体"/>
          <w:b w:val="0"/>
          <w:sz w:val="24"/>
        </w:rPr>
        <w:t>202</w:t>
      </w:r>
      <w:r>
        <w:rPr>
          <w:rFonts w:hint="eastAsia" w:ascii="Times New Roman" w:hAnsi="Times New Roman"/>
          <w:b w:val="0"/>
          <w:sz w:val="24"/>
          <w:lang w:val="en-US" w:eastAsia="zh-CN"/>
        </w:rPr>
        <w:t>1</w:t>
      </w:r>
      <w:r>
        <w:rPr>
          <w:rFonts w:ascii="Times New Roman" w:hAnsi="Times New Roman" w:eastAsia="宋体"/>
          <w:b w:val="0"/>
          <w:sz w:val="24"/>
        </w:rPr>
        <w:t>年下半年，A医药集团决定加大对互联网医院平台的投入力度，将年度IT预算的30%专项投入互联网医院建设。集团组建了由</w:t>
      </w:r>
      <w:r>
        <w:rPr>
          <w:rFonts w:hint="eastAsia" w:ascii="Times New Roman" w:hAnsi="Times New Roman"/>
          <w:b w:val="0"/>
          <w:sz w:val="24"/>
          <w:lang w:val="en-US" w:eastAsia="zh-CN"/>
        </w:rPr>
        <w:t>1</w:t>
      </w:r>
      <w:r>
        <w:rPr>
          <w:rFonts w:hint="eastAsia" w:ascii="Times New Roman" w:hAnsi="Times New Roman"/>
          <w:b w:val="0"/>
          <w:sz w:val="24"/>
          <w:lang w:val="en-US" w:eastAsia="zh-CN"/>
        </w:rPr>
        <w:t>5</w:t>
      </w:r>
      <w:r>
        <w:rPr>
          <w:rFonts w:ascii="Times New Roman" w:hAnsi="Times New Roman" w:eastAsia="宋体"/>
          <w:b w:val="0"/>
          <w:sz w:val="24"/>
        </w:rPr>
        <w:t>名开发人员和</w:t>
      </w:r>
      <w:r>
        <w:rPr>
          <w:rFonts w:hint="eastAsia" w:ascii="Times New Roman" w:hAnsi="Times New Roman"/>
          <w:b w:val="0"/>
          <w:sz w:val="24"/>
          <w:lang w:val="en-US" w:eastAsia="zh-CN"/>
        </w:rPr>
        <w:t>5</w:t>
      </w:r>
      <w:r>
        <w:rPr>
          <w:rFonts w:ascii="Times New Roman" w:hAnsi="Times New Roman" w:eastAsia="宋体"/>
          <w:b w:val="0"/>
          <w:sz w:val="24"/>
        </w:rPr>
        <w:t>名产品经理组成的专门技术团队</w:t>
      </w:r>
      <w:r>
        <w:rPr>
          <w:rFonts w:ascii="Times New Roman" w:hAnsi="Times New Roman" w:eastAsia="宋体"/>
          <w:b w:val="0"/>
          <w:sz w:val="24"/>
        </w:rPr>
        <w:t>。这一阶段新增了视频问诊、电子处方、药品配送、检查预约和报告查询等核心功能模块</w:t>
      </w:r>
      <w:r>
        <w:rPr>
          <w:rFonts w:hint="eastAsia" w:ascii="Times New Roman" w:hAnsi="Times New Roman"/>
          <w:b w:val="0"/>
          <w:sz w:val="24"/>
          <w:lang w:eastAsia="zh-CN"/>
        </w:rPr>
        <w:t>，</w:t>
      </w:r>
      <w:r>
        <w:rPr>
          <w:rFonts w:hint="eastAsia" w:ascii="Times New Roman" w:hAnsi="Times New Roman"/>
          <w:b w:val="0"/>
          <w:sz w:val="24"/>
          <w:lang w:val="en-US" w:eastAsia="zh-CN"/>
        </w:rPr>
        <w:t>与此同时</w:t>
      </w:r>
      <w:r>
        <w:rPr>
          <w:rFonts w:hint="eastAsia" w:ascii="Times New Roman" w:hAnsi="Times New Roman" w:eastAsia="宋体"/>
          <w:b w:val="0"/>
          <w:sz w:val="24"/>
        </w:rPr>
        <w:t>，统一管理平台上线，运营数据开始集中管理</w:t>
      </w:r>
      <w:r>
        <w:rPr>
          <w:rFonts w:hint="eastAsia" w:ascii="Times New Roman" w:hAnsi="Times New Roman"/>
          <w:b w:val="0"/>
          <w:sz w:val="24"/>
          <w:lang w:eastAsia="zh-CN"/>
        </w:rPr>
        <w:t>。</w:t>
      </w:r>
      <w:r>
        <w:rPr>
          <w:rFonts w:ascii="Times New Roman" w:hAnsi="Times New Roman" w:eastAsia="宋体"/>
          <w:b w:val="0"/>
          <w:sz w:val="24"/>
        </w:rPr>
        <w:t>平台与医院A的HIS系统</w:t>
      </w:r>
      <w:r>
        <w:rPr>
          <w:rFonts w:ascii="Times New Roman" w:hAnsi="Times New Roman" w:eastAsia="宋体"/>
          <w:b w:val="0"/>
          <w:sz w:val="24"/>
        </w:rPr>
        <w:t>实现了初步的数据对接，支持患者在线上完成复诊问诊、处方开具和药品配送的全流程。一个关键的架构决策是在此阶段做出的：平台将采用"一个统一前端+各院区数据汇聚"的模式，而非为每个院区独立部署实例，这为后续的多院区统一管理奠定了架构基础。平台用户量出现爆发式增长，到202</w:t>
      </w:r>
      <w:r>
        <w:rPr>
          <w:rFonts w:hint="eastAsia" w:ascii="Times New Roman" w:hAnsi="Times New Roman"/>
          <w:b w:val="0"/>
          <w:sz w:val="24"/>
          <w:lang w:val="en-US" w:eastAsia="zh-CN"/>
        </w:rPr>
        <w:t>3</w:t>
      </w:r>
      <w:r>
        <w:rPr>
          <w:rFonts w:ascii="Times New Roman" w:hAnsi="Times New Roman" w:eastAsia="宋体"/>
          <w:b w:val="0"/>
          <w:sz w:val="24"/>
        </w:rPr>
        <w:t>年底，累计注册用户已超过</w:t>
      </w:r>
      <w:r>
        <w:rPr>
          <w:rFonts w:hint="eastAsia" w:ascii="Times New Roman" w:hAnsi="Times New Roman"/>
          <w:b w:val="0"/>
          <w:sz w:val="24"/>
          <w:lang w:val="en-US" w:eastAsia="zh-CN"/>
        </w:rPr>
        <w:t>三</w:t>
      </w:r>
      <w:r>
        <w:rPr>
          <w:rFonts w:ascii="Times New Roman" w:hAnsi="Times New Roman" w:eastAsia="宋体"/>
          <w:b w:val="0"/>
          <w:sz w:val="24"/>
        </w:rPr>
        <w:t>十万人，月活跃用户突破</w:t>
      </w:r>
      <w:r>
        <w:rPr>
          <w:rFonts w:hint="eastAsia" w:ascii="Times New Roman" w:hAnsi="Times New Roman"/>
          <w:b w:val="0"/>
          <w:sz w:val="24"/>
          <w:lang w:val="en-US" w:eastAsia="zh-CN"/>
        </w:rPr>
        <w:t>两</w:t>
      </w:r>
      <w:r>
        <w:rPr>
          <w:rFonts w:ascii="Times New Roman" w:hAnsi="Times New Roman" w:eastAsia="宋体"/>
          <w:b w:val="0"/>
          <w:sz w:val="24"/>
        </w:rPr>
        <w:t>万人。</w:t>
      </w:r>
      <w:r>
        <w:rPr>
          <w:rFonts w:ascii="Times New Roman" w:hAnsi="Times New Roman" w:eastAsia="宋体"/>
          <w:b w:val="0"/>
          <w:sz w:val="24"/>
        </w:rPr>
        <w:t>医院A、B、C均已接入统一平台，患者在平台上可以选择任意一家医院进行在线问诊。</w:t>
      </w:r>
    </w:p>
    <w:p w14:paraId="1AF32975">
      <w:pPr>
        <w:spacing w:before="0" w:after="0" w:line="400" w:lineRule="exact"/>
        <w:ind w:firstLine="480"/>
        <w:jc w:val="both"/>
      </w:pPr>
      <w:r>
        <w:rPr>
          <w:rFonts w:ascii="Times New Roman" w:hAnsi="Times New Roman" w:eastAsia="宋体"/>
          <w:b w:val="0"/>
          <w:sz w:val="24"/>
        </w:rPr>
        <w:t>第三阶段为</w:t>
      </w:r>
      <w:r>
        <w:rPr>
          <w:rFonts w:hint="eastAsia" w:ascii="Times New Roman" w:hAnsi="Times New Roman"/>
          <w:b w:val="0"/>
          <w:sz w:val="24"/>
          <w:lang w:val="en-US" w:eastAsia="zh-CN"/>
        </w:rPr>
        <w:t>多院区</w:t>
      </w:r>
      <w:r>
        <w:rPr>
          <w:rFonts w:hint="eastAsia" w:ascii="Times New Roman" w:hAnsi="Times New Roman"/>
          <w:b w:val="0"/>
          <w:sz w:val="24"/>
          <w:lang w:val="en-US" w:eastAsia="zh-CN"/>
        </w:rPr>
        <w:t>深化</w:t>
      </w:r>
      <w:r>
        <w:rPr>
          <w:rFonts w:hint="eastAsia" w:ascii="Times New Roman" w:hAnsi="Times New Roman"/>
          <w:b w:val="0"/>
          <w:sz w:val="24"/>
          <w:lang w:val="en-US" w:eastAsia="zh-CN"/>
        </w:rPr>
        <w:t>协同</w:t>
      </w:r>
      <w:r>
        <w:rPr>
          <w:rFonts w:ascii="Times New Roman" w:hAnsi="Times New Roman" w:eastAsia="宋体"/>
          <w:b w:val="0"/>
          <w:sz w:val="24"/>
        </w:rPr>
        <w:t>期（202</w:t>
      </w:r>
      <w:r>
        <w:rPr>
          <w:rFonts w:hint="eastAsia" w:ascii="Times New Roman" w:hAnsi="Times New Roman"/>
          <w:b w:val="0"/>
          <w:sz w:val="24"/>
          <w:lang w:val="en-US" w:eastAsia="zh-CN"/>
        </w:rPr>
        <w:t>4</w:t>
      </w:r>
      <w:r>
        <w:rPr>
          <w:rFonts w:ascii="Times New Roman" w:hAnsi="Times New Roman" w:eastAsia="宋体"/>
          <w:b w:val="0"/>
          <w:sz w:val="24"/>
        </w:rPr>
        <w:t>年至今）。202</w:t>
      </w:r>
      <w:r>
        <w:rPr>
          <w:rFonts w:hint="eastAsia" w:ascii="Times New Roman" w:hAnsi="Times New Roman"/>
          <w:b w:val="0"/>
          <w:sz w:val="24"/>
          <w:lang w:val="en-US" w:eastAsia="zh-CN"/>
        </w:rPr>
        <w:t>4</w:t>
      </w:r>
      <w:r>
        <w:rPr>
          <w:rFonts w:ascii="Times New Roman" w:hAnsi="Times New Roman" w:eastAsia="宋体"/>
          <w:b w:val="0"/>
          <w:sz w:val="24"/>
        </w:rPr>
        <w:t>年初，集团明确提出"一个平台、多院</w:t>
      </w:r>
      <w:r>
        <w:rPr>
          <w:rFonts w:hint="eastAsia" w:ascii="Times New Roman" w:hAnsi="Times New Roman"/>
          <w:b w:val="0"/>
          <w:sz w:val="24"/>
          <w:lang w:val="en-US" w:eastAsia="zh-CN"/>
        </w:rPr>
        <w:t>深化</w:t>
      </w:r>
      <w:r>
        <w:rPr>
          <w:rFonts w:ascii="Times New Roman" w:hAnsi="Times New Roman" w:eastAsia="宋体"/>
          <w:b w:val="0"/>
          <w:sz w:val="24"/>
        </w:rPr>
        <w:t>协同"的信息化战略目标，将互联网医院平台定位为集团医疗服务统一的线上入口。技术团队对平台架构进行了重构，采用微服务架构以支持多院区的灵活接入。</w:t>
      </w:r>
      <w:r>
        <w:rPr>
          <w:rFonts w:ascii="Times New Roman" w:hAnsi="Times New Roman" w:eastAsia="宋体"/>
          <w:b w:val="0"/>
          <w:sz w:val="24"/>
        </w:rPr>
        <w:t>截至本研究数据采集时点（2026年</w:t>
      </w:r>
      <w:r>
        <w:rPr>
          <w:rFonts w:hint="eastAsia" w:ascii="Times New Roman" w:hAnsi="Times New Roman"/>
          <w:b w:val="0"/>
          <w:sz w:val="24"/>
          <w:lang w:val="en-US" w:eastAsia="zh-CN"/>
        </w:rPr>
        <w:t>5</w:t>
      </w:r>
      <w:r>
        <w:rPr>
          <w:rFonts w:ascii="Times New Roman" w:hAnsi="Times New Roman" w:eastAsia="宋体"/>
          <w:b w:val="0"/>
          <w:sz w:val="24"/>
        </w:rPr>
        <w:t>月</w:t>
      </w:r>
      <w:r>
        <w:rPr>
          <w:rFonts w:hint="eastAsia" w:ascii="Times New Roman" w:hAnsi="Times New Roman"/>
          <w:b w:val="0"/>
          <w:sz w:val="24"/>
          <w:lang w:val="en-US" w:eastAsia="zh-CN"/>
        </w:rPr>
        <w:t>底</w:t>
      </w:r>
      <w:r>
        <w:rPr>
          <w:rFonts w:ascii="Times New Roman" w:hAnsi="Times New Roman" w:eastAsia="宋体"/>
          <w:b w:val="0"/>
          <w:sz w:val="24"/>
        </w:rPr>
        <w:t>），</w:t>
      </w:r>
      <w:r>
        <w:rPr>
          <w:rFonts w:ascii="Times New Roman" w:hAnsi="Times New Roman" w:eastAsia="宋体"/>
          <w:b w:val="0"/>
          <w:sz w:val="24"/>
          <w:highlight w:val="yellow"/>
        </w:rPr>
        <w:t>平台已累计</w:t>
      </w:r>
      <w:r>
        <w:rPr>
          <w:rFonts w:hint="eastAsia" w:ascii="Times New Roman" w:hAnsi="Times New Roman"/>
          <w:b w:val="0"/>
          <w:sz w:val="24"/>
          <w:highlight w:val="yellow"/>
          <w:lang w:val="en-US" w:eastAsia="zh-CN"/>
        </w:rPr>
        <w:t>注册</w:t>
      </w:r>
      <w:r>
        <w:rPr>
          <w:rFonts w:hint="eastAsia" w:ascii="Times New Roman" w:hAnsi="Times New Roman"/>
          <w:b w:val="0"/>
          <w:sz w:val="24"/>
          <w:highlight w:val="yellow"/>
          <w:lang w:val="en-US" w:eastAsia="zh-CN"/>
        </w:rPr>
        <w:t>用户</w:t>
      </w:r>
      <w:r>
        <w:rPr>
          <w:rFonts w:hint="eastAsia" w:ascii="Times New Roman" w:hAnsi="Times New Roman"/>
          <w:b w:val="0"/>
          <w:sz w:val="24"/>
          <w:highlight w:val="yellow"/>
          <w:lang w:val="en-US" w:eastAsia="zh-CN"/>
        </w:rPr>
        <w:t>超</w:t>
      </w:r>
      <w:r>
        <w:rPr>
          <w:rFonts w:hint="eastAsia" w:ascii="Times New Roman" w:hAnsi="Times New Roman"/>
          <w:b w:val="0"/>
          <w:sz w:val="24"/>
          <w:highlight w:val="yellow"/>
          <w:lang w:val="en-US" w:eastAsia="zh-CN"/>
        </w:rPr>
        <w:t>九十万</w:t>
      </w:r>
      <w:r>
        <w:rPr>
          <w:rFonts w:hint="eastAsia" w:ascii="Times New Roman" w:hAnsi="Times New Roman"/>
          <w:b w:val="0"/>
          <w:sz w:val="24"/>
          <w:highlight w:val="yellow"/>
          <w:lang w:val="en-US" w:eastAsia="zh-CN"/>
        </w:rPr>
        <w:t>，</w:t>
      </w:r>
      <w:r>
        <w:rPr>
          <w:rFonts w:ascii="Times New Roman" w:hAnsi="Times New Roman" w:eastAsia="宋体"/>
          <w:b w:val="0"/>
          <w:sz w:val="24"/>
          <w:highlight w:val="yellow"/>
        </w:rPr>
        <w:t>服务患者超过</w:t>
      </w:r>
      <w:r>
        <w:rPr>
          <w:rFonts w:hint="eastAsia" w:ascii="Times New Roman" w:hAnsi="Times New Roman"/>
          <w:b w:val="0"/>
          <w:sz w:val="24"/>
          <w:highlight w:val="yellow"/>
          <w:lang w:val="en-US" w:eastAsia="zh-CN"/>
        </w:rPr>
        <w:t>一百五十</w:t>
      </w:r>
      <w:r>
        <w:rPr>
          <w:rFonts w:ascii="Times New Roman" w:hAnsi="Times New Roman" w:eastAsia="宋体"/>
          <w:b w:val="0"/>
          <w:sz w:val="24"/>
          <w:highlight w:val="yellow"/>
        </w:rPr>
        <w:t>万人次，沉淀了</w:t>
      </w:r>
      <w:r>
        <w:rPr>
          <w:rFonts w:hint="eastAsia" w:ascii="Times New Roman" w:hAnsi="Times New Roman"/>
          <w:b w:val="0"/>
          <w:sz w:val="24"/>
          <w:highlight w:val="yellow"/>
          <w:lang w:val="en-US" w:eastAsia="zh-CN"/>
        </w:rPr>
        <w:t>一千</w:t>
      </w:r>
      <w:r>
        <w:rPr>
          <w:rFonts w:ascii="Times New Roman" w:hAnsi="Times New Roman" w:eastAsia="宋体"/>
          <w:b w:val="0"/>
          <w:sz w:val="24"/>
          <w:highlight w:val="yellow"/>
        </w:rPr>
        <w:t>余万条事件日志数据，为本研究的数据驱动分析奠定了数据基础。</w:t>
      </w:r>
      <w:r>
        <w:rPr>
          <w:rFonts w:ascii="Times New Roman" w:hAnsi="Times New Roman" w:eastAsia="宋体"/>
          <w:b w:val="0"/>
          <w:sz w:val="24"/>
        </w:rPr>
        <w:t>需要说明的是，本研究事件日志数据覆盖202</w:t>
      </w:r>
      <w:r>
        <w:rPr>
          <w:rFonts w:hint="eastAsia" w:ascii="Times New Roman" w:hAnsi="Times New Roman"/>
          <w:b w:val="0"/>
          <w:sz w:val="24"/>
          <w:lang w:val="en-US" w:eastAsia="zh-CN"/>
        </w:rPr>
        <w:t>2</w:t>
      </w:r>
      <w:r>
        <w:rPr>
          <w:rFonts w:ascii="Times New Roman" w:hAnsi="Times New Roman" w:eastAsia="宋体"/>
          <w:b w:val="0"/>
          <w:sz w:val="24"/>
        </w:rPr>
        <w:t>年</w:t>
      </w:r>
      <w:r>
        <w:rPr>
          <w:rFonts w:hint="eastAsia" w:ascii="Times New Roman" w:hAnsi="Times New Roman"/>
          <w:b w:val="0"/>
          <w:sz w:val="24"/>
          <w:lang w:val="en-US" w:eastAsia="zh-CN"/>
        </w:rPr>
        <w:t>6</w:t>
      </w:r>
      <w:r>
        <w:rPr>
          <w:rFonts w:ascii="Times New Roman" w:hAnsi="Times New Roman" w:eastAsia="宋体"/>
          <w:b w:val="0"/>
          <w:sz w:val="24"/>
        </w:rPr>
        <w:t>月至2026年</w:t>
      </w:r>
      <w:r>
        <w:rPr>
          <w:rFonts w:hint="eastAsia" w:ascii="Times New Roman" w:hAnsi="Times New Roman"/>
          <w:b w:val="0"/>
          <w:sz w:val="24"/>
          <w:lang w:val="en-US" w:eastAsia="zh-CN"/>
        </w:rPr>
        <w:t>5</w:t>
      </w:r>
      <w:r>
        <w:rPr>
          <w:rFonts w:ascii="Times New Roman" w:hAnsi="Times New Roman" w:eastAsia="宋体"/>
          <w:b w:val="0"/>
          <w:sz w:val="24"/>
        </w:rPr>
        <w:t>月，采集时点为2026年</w:t>
      </w:r>
      <w:r>
        <w:rPr>
          <w:rFonts w:hint="eastAsia" w:ascii="Times New Roman" w:hAnsi="Times New Roman"/>
          <w:b w:val="0"/>
          <w:sz w:val="24"/>
          <w:lang w:val="en-US" w:eastAsia="zh-CN"/>
        </w:rPr>
        <w:t>6</w:t>
      </w:r>
      <w:r>
        <w:rPr>
          <w:rFonts w:ascii="Times New Roman" w:hAnsi="Times New Roman" w:eastAsia="宋体"/>
          <w:b w:val="0"/>
          <w:sz w:val="24"/>
        </w:rPr>
        <w:t>月；文中涉及"截至2026年5月"的平台运营数据（如合作药店数量、处方流转单量）</w:t>
      </w:r>
      <w:r>
        <w:rPr>
          <w:rFonts w:hint="eastAsia" w:ascii="Times New Roman" w:hAnsi="Times New Roman"/>
          <w:b w:val="0"/>
          <w:sz w:val="24"/>
          <w:lang w:val="en-US" w:eastAsia="zh-CN"/>
        </w:rPr>
        <w:t>来</w:t>
      </w:r>
      <w:r>
        <w:rPr>
          <w:rFonts w:ascii="Times New Roman" w:hAnsi="Times New Roman" w:eastAsia="宋体"/>
          <w:b w:val="0"/>
          <w:sz w:val="24"/>
        </w:rPr>
        <w:t>自集团最新</w:t>
      </w:r>
      <w:r>
        <w:rPr>
          <w:rFonts w:hint="eastAsia" w:ascii="Times New Roman" w:hAnsi="Times New Roman"/>
          <w:b w:val="0"/>
          <w:sz w:val="24"/>
          <w:lang w:val="en-US" w:eastAsia="zh-CN"/>
        </w:rPr>
        <w:t>管理</w:t>
      </w:r>
      <w:r>
        <w:rPr>
          <w:rFonts w:hint="eastAsia" w:ascii="Times New Roman" w:hAnsi="Times New Roman"/>
          <w:b w:val="0"/>
          <w:sz w:val="24"/>
          <w:lang w:val="en-US" w:eastAsia="zh-CN"/>
        </w:rPr>
        <w:t>平</w:t>
      </w:r>
      <w:r>
        <w:rPr>
          <w:rFonts w:hint="eastAsia" w:ascii="Times New Roman" w:hAnsi="Times New Roman"/>
          <w:b w:val="0"/>
          <w:sz w:val="24"/>
          <w:lang w:val="en-US" w:eastAsia="zh-CN"/>
        </w:rPr>
        <w:t>台</w:t>
      </w:r>
      <w:r>
        <w:rPr>
          <w:rFonts w:ascii="Times New Roman" w:hAnsi="Times New Roman" w:eastAsia="宋体"/>
          <w:b w:val="0"/>
          <w:sz w:val="24"/>
        </w:rPr>
        <w:t>。</w:t>
      </w:r>
    </w:p>
    <w:p w14:paraId="6A1616C6">
      <w:pPr>
        <w:spacing w:before="0" w:after="0" w:line="400" w:lineRule="exact"/>
        <w:ind w:firstLine="480"/>
        <w:jc w:val="both"/>
      </w:pPr>
      <w:r>
        <w:rPr>
          <w:rFonts w:ascii="Times New Roman" w:hAnsi="Times New Roman" w:eastAsia="宋体"/>
          <w:b w:val="0"/>
          <w:sz w:val="24"/>
        </w:rPr>
        <w:t>从运营数据来看，互联网医院的关键时间节点包括：2022年3月获批</w:t>
      </w:r>
      <w:r>
        <w:rPr>
          <w:rFonts w:hint="eastAsia" w:ascii="Times New Roman" w:hAnsi="Times New Roman"/>
          <w:b w:val="0"/>
          <w:sz w:val="24"/>
          <w:lang w:val="en-US" w:eastAsia="zh-CN"/>
        </w:rPr>
        <w:t>第一张</w:t>
      </w:r>
      <w:r>
        <w:rPr>
          <w:rFonts w:hint="eastAsia" w:ascii="Times New Roman" w:hAnsi="Times New Roman"/>
          <w:b w:val="0"/>
          <w:sz w:val="24"/>
          <w:lang w:val="en-US" w:eastAsia="zh-CN"/>
        </w:rPr>
        <w:t>互联网</w:t>
      </w:r>
      <w:r>
        <w:rPr>
          <w:rFonts w:hint="eastAsia" w:ascii="Times New Roman" w:hAnsi="Times New Roman"/>
          <w:b w:val="0"/>
          <w:sz w:val="24"/>
          <w:lang w:val="en-US" w:eastAsia="zh-CN"/>
        </w:rPr>
        <w:t>医院</w:t>
      </w:r>
      <w:r>
        <w:rPr>
          <w:rFonts w:hint="eastAsia" w:ascii="Times New Roman" w:hAnsi="Times New Roman"/>
          <w:b w:val="0"/>
          <w:sz w:val="24"/>
          <w:lang w:val="en-US" w:eastAsia="zh-CN"/>
        </w:rPr>
        <w:t>牌照</w:t>
      </w:r>
      <w:r>
        <w:rPr>
          <w:rFonts w:ascii="Times New Roman" w:hAnsi="Times New Roman" w:eastAsia="宋体"/>
          <w:b w:val="0"/>
          <w:sz w:val="24"/>
        </w:rPr>
        <w:t>，2022年6月互联网医院正式运行，2023年4月启动处方流转业务。截至2026年5月，平台已签约合作药店</w:t>
      </w:r>
      <w:r>
        <w:rPr>
          <w:rFonts w:hint="eastAsia" w:ascii="Times New Roman" w:hAnsi="Times New Roman"/>
          <w:b w:val="0"/>
          <w:sz w:val="24"/>
          <w:lang w:val="en-US" w:eastAsia="zh-CN"/>
        </w:rPr>
        <w:t>1000</w:t>
      </w:r>
      <w:r>
        <w:rPr>
          <w:rFonts w:hint="eastAsia" w:ascii="Times New Roman" w:hAnsi="Times New Roman"/>
          <w:b w:val="0"/>
          <w:sz w:val="24"/>
          <w:lang w:val="en-US" w:eastAsia="zh-CN"/>
        </w:rPr>
        <w:t>余</w:t>
      </w:r>
      <w:r>
        <w:rPr>
          <w:rFonts w:ascii="Times New Roman" w:hAnsi="Times New Roman" w:eastAsia="宋体"/>
          <w:b w:val="0"/>
          <w:sz w:val="24"/>
        </w:rPr>
        <w:t>家，2023年至2026年5月期间处方流转续方累计达</w:t>
      </w:r>
      <w:r>
        <w:rPr>
          <w:rFonts w:hint="eastAsia" w:ascii="Times New Roman" w:hAnsi="Times New Roman"/>
          <w:b w:val="0"/>
          <w:sz w:val="24"/>
          <w:lang w:val="en-US" w:eastAsia="zh-CN"/>
        </w:rPr>
        <w:t>60</w:t>
      </w:r>
      <w:r>
        <w:rPr>
          <w:rFonts w:hint="eastAsia" w:ascii="Times New Roman" w:hAnsi="Times New Roman"/>
          <w:b w:val="0"/>
          <w:sz w:val="24"/>
          <w:lang w:val="en-US" w:eastAsia="zh-CN"/>
        </w:rPr>
        <w:t>余</w:t>
      </w:r>
      <w:r>
        <w:rPr>
          <w:rFonts w:ascii="Times New Roman" w:hAnsi="Times New Roman" w:eastAsia="宋体"/>
          <w:b w:val="0"/>
          <w:sz w:val="24"/>
        </w:rPr>
        <w:t>万单</w:t>
      </w:r>
      <w:r>
        <w:rPr>
          <w:rFonts w:ascii="Times New Roman" w:hAnsi="Times New Roman" w:eastAsia="宋体"/>
          <w:b w:val="0"/>
          <w:sz w:val="24"/>
        </w:rPr>
        <w:t>。这些数据表明，A医药集团互联网医院已从早期的探索阶段进入到规模化运营阶段，但同时也意味着流程中的效率问题和管理挑战将更加凸显。</w:t>
      </w:r>
    </w:p>
    <w:p w14:paraId="13C48911">
      <w:pPr>
        <w:spacing w:before="480" w:after="120" w:line="240" w:lineRule="auto"/>
        <w:jc w:val="center"/>
        <w:outlineLvl w:val="1"/>
      </w:pPr>
      <w:bookmarkStart w:id="35" w:name="_Toc12769"/>
      <w:r>
        <w:rPr>
          <w:rFonts w:ascii="Times New Roman" w:hAnsi="Times New Roman" w:eastAsia="黑体"/>
          <w:b/>
          <w:sz w:val="28"/>
        </w:rPr>
        <w:t>第二节　互联网医院平台功能与数据基础</w:t>
      </w:r>
      <w:bookmarkEnd w:id="35"/>
    </w:p>
    <w:p w14:paraId="42B2B99D">
      <w:pPr>
        <w:spacing w:before="240" w:after="120" w:line="240" w:lineRule="auto"/>
        <w:ind w:firstLine="520"/>
        <w:outlineLvl w:val="2"/>
      </w:pPr>
      <w:bookmarkStart w:id="36" w:name="_Toc22383"/>
      <w:r>
        <w:rPr>
          <w:rFonts w:ascii="Times New Roman" w:hAnsi="Times New Roman" w:eastAsia="黑体"/>
          <w:b/>
          <w:sz w:val="26"/>
        </w:rPr>
        <w:t>一、平台功能模块</w:t>
      </w:r>
      <w:bookmarkEnd w:id="36"/>
    </w:p>
    <w:p w14:paraId="2D387337">
      <w:pPr>
        <w:spacing w:before="0" w:after="0" w:line="400" w:lineRule="exact"/>
        <w:ind w:firstLine="480"/>
        <w:jc w:val="both"/>
      </w:pPr>
      <w:r>
        <w:rPr>
          <w:rFonts w:ascii="Times New Roman" w:hAnsi="Times New Roman" w:eastAsia="宋体"/>
          <w:b w:val="0"/>
          <w:sz w:val="24"/>
        </w:rPr>
        <w:t>A医药集团互联网医院平台面向患者端（微信小程序和手机应用）和医生端（电脑工作站和移动端应用）分别提供了以下功能模块。</w:t>
      </w:r>
    </w:p>
    <w:p w14:paraId="73922A62">
      <w:pPr>
        <w:spacing w:before="0" w:after="0" w:line="400" w:lineRule="exact"/>
        <w:ind w:firstLine="480"/>
        <w:jc w:val="both"/>
      </w:pPr>
      <w:r>
        <w:rPr>
          <w:rFonts w:ascii="Times New Roman" w:hAnsi="Times New Roman" w:eastAsia="宋体"/>
          <w:b w:val="0"/>
          <w:sz w:val="24"/>
        </w:rPr>
        <w:t>患者端核心功能包括：（1）在线问诊模块，支持图文问诊、语音问诊和视频问诊三种模式，患者可自主选择就诊院区和科室，系统根据医生排班自动分配或由患者自主选择接诊医生；（2）电子处方模块，医生在线开具处方后，患者可在平台上查看处方详情，选择线上配送或到院自取；（3）检查检验预约模块，医生在线开具检查申请后，患者可通过平台预约线下检查时段，平台显示各院区检查资源的实时可约状态；（4）报告查询模块，患者可在线查看检验检查报告，支持历史报告归档和对比查看；（5）药品配送模块，患者可选择药品配送到家服务，平台对接集团旗下的连锁药房和第三方物流系统；（6）慢病管理模块，为高血压、糖尿病等慢病患者提供定期复诊提醒、健康指标记录和用药管理服务。</w:t>
      </w:r>
    </w:p>
    <w:p w14:paraId="39E5FE3C">
      <w:pPr>
        <w:spacing w:before="0" w:after="0" w:line="400" w:lineRule="exact"/>
        <w:ind w:firstLine="480"/>
        <w:jc w:val="both"/>
      </w:pPr>
      <w:r>
        <w:rPr>
          <w:rFonts w:ascii="Times New Roman" w:hAnsi="Times New Roman" w:eastAsia="宋体"/>
          <w:b w:val="0"/>
          <w:sz w:val="24"/>
        </w:rPr>
        <w:t>医生端核心功能包括：（1）在线接诊工作台，支持医生查看待接诊患者列表、患者历史就诊记录和检查报告，提供问诊过程中的快捷回复模板；（2）处方开具系统，对接集团药品目录和医保控费规则，支持医生在处方开具时进行药品合理性审核和医保合规检查；（3）检查申请系统，支持医生在线开具检查检验申请单，患者端同步收到预约通知；（4）患者管理面板，支持医生查看其所管理的慢病患者群体的总体健康指标趋势。</w:t>
      </w:r>
    </w:p>
    <w:p w14:paraId="292600D2">
      <w:pPr>
        <w:jc w:val="center"/>
      </w:pPr>
      <w:r>
        <w:drawing>
          <wp:inline distT="0" distB="0" distL="114300" distR="114300">
            <wp:extent cx="5039995" cy="3804920"/>
            <wp:effectExtent l="0" t="0" r="1333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6"/>
                    <a:stretch>
                      <a:fillRect/>
                    </a:stretch>
                  </pic:blipFill>
                  <pic:spPr>
                    <a:xfrm>
                      <a:off x="0" y="0"/>
                      <a:ext cx="5040000" cy="3805200"/>
                    </a:xfrm>
                    <a:prstGeom prst="rect">
                      <a:avLst/>
                    </a:prstGeom>
                  </pic:spPr>
                </pic:pic>
              </a:graphicData>
            </a:graphic>
          </wp:inline>
        </w:drawing>
      </w:r>
    </w:p>
    <w:p w14:paraId="76ACC1E6">
      <w:pPr>
        <w:spacing w:before="0" w:after="0" w:line="400" w:lineRule="exact"/>
        <w:ind w:firstLine="480"/>
        <w:jc w:val="both"/>
      </w:pPr>
      <w:r>
        <w:rPr>
          <w:rFonts w:ascii="Times New Roman" w:hAnsi="Times New Roman" w:eastAsia="宋体"/>
          <w:b w:val="0"/>
          <w:sz w:val="24"/>
        </w:rPr>
        <w:t>图3.2 互联网医院平台建设三阶段</w:t>
      </w:r>
    </w:p>
    <w:p w14:paraId="40AE31FE">
      <w:pPr>
        <w:spacing w:before="0" w:after="0" w:line="400" w:lineRule="exact"/>
        <w:ind w:firstLine="480"/>
        <w:jc w:val="both"/>
      </w:pPr>
      <w:r>
        <w:rPr>
          <w:rFonts w:ascii="Times New Roman" w:hAnsi="Times New Roman" w:eastAsia="宋体"/>
          <w:b w:val="0"/>
          <w:sz w:val="24"/>
        </w:rPr>
        <w:t>后台管理系统（即统一管理平台）面向集团和医院管理人员，提供以下功能：（1）运营数据看板，实时展示各院区的在线问诊量、处方量、检查预约量、药品配送量等核心运营指标；（2）业务流程监控，提供事件日志查询和流程状态追踪功能；（3）数据报表模块，支持按院区、科室、时间段等维度生成各类运营报表；（4）系统配置管理，支持院区信息、科室设置、医生排班、药品目录等基础数据的统一管理。</w:t>
      </w:r>
    </w:p>
    <w:p w14:paraId="360B57E0">
      <w:pPr>
        <w:spacing w:before="0" w:after="0" w:line="400" w:lineRule="exact"/>
        <w:ind w:firstLine="480"/>
        <w:jc w:val="both"/>
      </w:pPr>
      <w:r>
        <w:rPr>
          <w:rFonts w:ascii="Times New Roman" w:hAnsi="Times New Roman" w:eastAsia="宋体"/>
          <w:b w:val="0"/>
          <w:sz w:val="24"/>
        </w:rPr>
        <w:t>在技术架构方面，互联网医院平台依托国药云平台构建，采用云原生微服务架构：前端通过API网关实现多端（微信小程序、手机应用、医生工作站）的统一接入，后端微服务部署于容器集群，支持弹性伸缩和高并发治理，并通过异步消息队列与持续集成、持续交付（CI/CD）流水线支撑处方流转等高并发业务场景和系统的快速迭代。在安全性方面，平台通过了国家网络安全等级保护三级（等保三级）测评，部署了高性能专用前置机实现云端与院端之间的双向强隔离，医保结算等关键业务全部采用政务专用网络和国密加密传输。在智能化方面，平台集成了AI智能审方引擎，基于自然语言处理（NLP）和医疗知识图谱技术，在医生开具处方时进行实时合规性审核，包括药物相互作用检查、超剂量提醒和医保适应症匹配。此外，处方流转环节采用区块链技术进行存证，确保处方数据的不可篡改和全流程可追溯。</w:t>
      </w:r>
    </w:p>
    <w:p w14:paraId="3A20EA01">
      <w:pPr>
        <w:spacing w:before="240" w:after="120" w:line="240" w:lineRule="auto"/>
        <w:ind w:firstLine="520"/>
        <w:outlineLvl w:val="2"/>
      </w:pPr>
      <w:bookmarkStart w:id="37" w:name="_Toc10467"/>
      <w:r>
        <w:rPr>
          <w:rFonts w:ascii="Times New Roman" w:hAnsi="Times New Roman" w:eastAsia="黑体"/>
          <w:b/>
          <w:sz w:val="26"/>
        </w:rPr>
        <w:t>二、平台核心数据字段</w:t>
      </w:r>
      <w:bookmarkEnd w:id="37"/>
    </w:p>
    <w:p w14:paraId="3FF03FA5">
      <w:pPr>
        <w:spacing w:before="0" w:after="0" w:line="400" w:lineRule="exact"/>
        <w:ind w:firstLine="480"/>
        <w:jc w:val="both"/>
      </w:pPr>
      <w:r>
        <w:rPr>
          <w:rFonts w:ascii="Times New Roman" w:hAnsi="Times New Roman" w:eastAsia="宋体"/>
          <w:b w:val="0"/>
          <w:sz w:val="24"/>
        </w:rPr>
        <w:t>统一管理平台记录了互联网医院运营过程中产生的各类业务数据。通过对平台后台管理页面的系统梳理，本研究识别出以下核心数据字段体系。表3.2按照患者信息域、事件日志域、问诊记录域、处方记录域和检查记录域五个数据域进行了分类汇总，各字段的业务含义和用途说明如下。</w:t>
      </w:r>
    </w:p>
    <w:p w14:paraId="01069348">
      <w:pPr>
        <w:spacing w:before="0" w:after="0" w:line="400" w:lineRule="exact"/>
        <w:ind w:firstLine="480"/>
        <w:jc w:val="both"/>
      </w:pPr>
      <w:r>
        <w:rPr>
          <w:rFonts w:ascii="Times New Roman" w:hAnsi="Times New Roman" w:eastAsia="宋体"/>
          <w:b w:val="0"/>
          <w:sz w:val="24"/>
        </w:rPr>
        <w:t>患者信息域包含患者ID（脱敏编码，采用SHA-256哈希算法对患者身份证号进行不可逆脱敏，确保个人隐私的同时支持跨院区的患者身份关联）、年龄区间（分为18-30岁、31-45岁、46-60岁和60岁以上四个类别，用于患者群体画像分析）、性别（用于特定疾病的风险分层和服务模式设计）和注册院区（患者首次注册时选择的就近院区，是分析患者院区偏好的基础数据）。</w:t>
      </w:r>
    </w:p>
    <w:p w14:paraId="499B4586">
      <w:pPr>
        <w:spacing w:before="0" w:after="0" w:line="400" w:lineRule="exact"/>
        <w:ind w:firstLine="480"/>
        <w:jc w:val="both"/>
      </w:pPr>
      <w:r>
        <w:rPr>
          <w:rFonts w:ascii="Times New Roman" w:hAnsi="Times New Roman" w:eastAsia="宋体"/>
          <w:b w:val="0"/>
          <w:sz w:val="24"/>
        </w:rPr>
        <w:t>事件日志域是过程分析法分析的核心数据来源，包含以下字段。事件ID为每次业务操作的唯一流水标识。案例ID将同一患者的同一次就诊流程中的所有事件串联起来，是过程分析法中Case ID的直接映射。事件类型分为问诊、处方开具、处方审核、检查申请、检查完成、取药、取消等12种，对应业务操作的不同类型。时间戳精确到秒，是过程分析法中Timestamp的来源。操作者编码和角色标识了事件的执行主体和身份类型，用于分析不同角色的操作行为模式。发生院区和所属科室用于跨院区和跨科室的流程对比分析。事件状态（进行中、已完成、已取消）用于识别异常中断的案例。</w:t>
      </w:r>
    </w:p>
    <w:p w14:paraId="3028183A">
      <w:pPr>
        <w:spacing w:before="0" w:after="0" w:line="400" w:lineRule="exact"/>
        <w:ind w:firstLine="480"/>
        <w:jc w:val="both"/>
      </w:pPr>
      <w:r>
        <w:rPr>
          <w:rFonts w:ascii="Times New Roman" w:hAnsi="Times New Roman" w:eastAsia="宋体"/>
          <w:b w:val="0"/>
          <w:sz w:val="24"/>
        </w:rPr>
        <w:t>问诊记录域、处方记录域和检查记录域保存了相应业务环节的详细信息，为流程诊断提供了上下文数据支持。例如，问诊类型（图文/语音/视频）可用于分析不同问诊方式的效率差异，处方类型和金额可用于药品结构的合理性分析，检查类型（检验/影像/功能检查）和状态流转可用于不同检查类型的周期对比。</w:t>
      </w:r>
    </w:p>
    <w:p w14:paraId="3181CDF9">
      <w:pPr>
        <w:spacing w:before="120" w:after="120" w:line="240" w:lineRule="auto"/>
        <w:jc w:val="center"/>
      </w:pPr>
      <w:r>
        <w:rPr>
          <w:rFonts w:ascii="Times New Roman" w:hAnsi="Times New Roman" w:eastAsia="宋体"/>
          <w:b w:val="0"/>
          <w:sz w:val="21"/>
        </w:rPr>
        <w:t>表3.2　互联网医院平台核心数据字段一览</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6C44AEA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4C69BC46">
            <w:pPr>
              <w:jc w:val="center"/>
            </w:pPr>
            <w:r>
              <w:rPr>
                <w:rFonts w:ascii="Times New Roman" w:hAnsi="Times New Roman" w:eastAsia="宋体"/>
                <w:b/>
                <w:sz w:val="20"/>
              </w:rPr>
              <w:t>数据域</w:t>
            </w:r>
          </w:p>
        </w:tc>
        <w:tc>
          <w:tcPr>
            <w:tcW w:w="2153" w:type="dxa"/>
            <w:tcBorders>
              <w:bottom w:val="single" w:color="000000" w:sz="12" w:space="0"/>
            </w:tcBorders>
          </w:tcPr>
          <w:p w14:paraId="732A4C41">
            <w:pPr>
              <w:jc w:val="center"/>
            </w:pPr>
            <w:r>
              <w:rPr>
                <w:rFonts w:ascii="Times New Roman" w:hAnsi="Times New Roman" w:eastAsia="宋体"/>
                <w:b/>
                <w:sz w:val="20"/>
              </w:rPr>
              <w:t>字段名称</w:t>
            </w:r>
          </w:p>
        </w:tc>
        <w:tc>
          <w:tcPr>
            <w:tcW w:w="2153" w:type="dxa"/>
            <w:tcBorders>
              <w:bottom w:val="single" w:color="000000" w:sz="12" w:space="0"/>
            </w:tcBorders>
          </w:tcPr>
          <w:p w14:paraId="4D45B44E">
            <w:pPr>
              <w:jc w:val="center"/>
            </w:pPr>
            <w:r>
              <w:rPr>
                <w:rFonts w:ascii="Times New Roman" w:hAnsi="Times New Roman" w:eastAsia="宋体"/>
                <w:b/>
                <w:sz w:val="20"/>
              </w:rPr>
              <w:t>数据类型</w:t>
            </w:r>
          </w:p>
        </w:tc>
        <w:tc>
          <w:tcPr>
            <w:tcW w:w="2153" w:type="dxa"/>
            <w:tcBorders>
              <w:bottom w:val="single" w:color="000000" w:sz="12" w:space="0"/>
            </w:tcBorders>
          </w:tcPr>
          <w:p w14:paraId="319CF729">
            <w:pPr>
              <w:jc w:val="center"/>
            </w:pPr>
            <w:r>
              <w:rPr>
                <w:rFonts w:ascii="Times New Roman" w:hAnsi="Times New Roman" w:eastAsia="宋体"/>
                <w:b/>
                <w:sz w:val="20"/>
              </w:rPr>
              <w:t>说明</w:t>
            </w:r>
          </w:p>
        </w:tc>
      </w:tr>
      <w:tr w14:paraId="3E90E0F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B12A787">
            <w:r>
              <w:rPr>
                <w:rFonts w:ascii="Times New Roman" w:hAnsi="Times New Roman" w:eastAsia="宋体"/>
                <w:sz w:val="20"/>
              </w:rPr>
              <w:t>患者信息</w:t>
            </w:r>
          </w:p>
        </w:tc>
        <w:tc>
          <w:tcPr>
            <w:tcW w:w="2153" w:type="dxa"/>
          </w:tcPr>
          <w:p w14:paraId="00EB6CBC">
            <w:r>
              <w:rPr>
                <w:rFonts w:ascii="Times New Roman" w:hAnsi="Times New Roman" w:eastAsia="宋体"/>
                <w:sz w:val="20"/>
              </w:rPr>
              <w:t>患者ID</w:t>
            </w:r>
          </w:p>
        </w:tc>
        <w:tc>
          <w:tcPr>
            <w:tcW w:w="2153" w:type="dxa"/>
          </w:tcPr>
          <w:p w14:paraId="35E4821B">
            <w:r>
              <w:rPr>
                <w:rFonts w:ascii="Times New Roman" w:hAnsi="Times New Roman" w:eastAsia="宋体"/>
                <w:sz w:val="20"/>
              </w:rPr>
              <w:t>脱敏编码</w:t>
            </w:r>
          </w:p>
        </w:tc>
        <w:tc>
          <w:tcPr>
            <w:tcW w:w="2153" w:type="dxa"/>
          </w:tcPr>
          <w:p w14:paraId="297A0C13">
            <w:r>
              <w:rPr>
                <w:rFonts w:ascii="Times New Roman" w:hAnsi="Times New Roman" w:eastAsia="宋体"/>
                <w:sz w:val="20"/>
              </w:rPr>
              <w:t>唯一标识，跨院区统一</w:t>
            </w:r>
          </w:p>
        </w:tc>
      </w:tr>
      <w:tr w14:paraId="3E91C58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59DDCEF6"/>
        </w:tc>
        <w:tc>
          <w:tcPr>
            <w:tcW w:w="2153" w:type="dxa"/>
          </w:tcPr>
          <w:p w14:paraId="47BB4A15">
            <w:r>
              <w:rPr>
                <w:rFonts w:ascii="Times New Roman" w:hAnsi="Times New Roman" w:eastAsia="宋体"/>
                <w:sz w:val="20"/>
              </w:rPr>
              <w:t>年龄区间</w:t>
            </w:r>
          </w:p>
        </w:tc>
        <w:tc>
          <w:tcPr>
            <w:tcW w:w="2153" w:type="dxa"/>
          </w:tcPr>
          <w:p w14:paraId="2E77A82E">
            <w:r>
              <w:rPr>
                <w:rFonts w:ascii="Times New Roman" w:hAnsi="Times New Roman" w:eastAsia="宋体"/>
                <w:sz w:val="20"/>
              </w:rPr>
              <w:t>分类</w:t>
            </w:r>
          </w:p>
        </w:tc>
        <w:tc>
          <w:tcPr>
            <w:tcW w:w="2153" w:type="dxa"/>
          </w:tcPr>
          <w:p w14:paraId="6E1AA201">
            <w:r>
              <w:rPr>
                <w:rFonts w:ascii="Times New Roman" w:hAnsi="Times New Roman" w:eastAsia="宋体"/>
                <w:sz w:val="20"/>
              </w:rPr>
              <w:t>18-30/31-45/46-60/60+</w:t>
            </w:r>
          </w:p>
        </w:tc>
      </w:tr>
      <w:tr w14:paraId="24C9930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9B7BE98"/>
        </w:tc>
        <w:tc>
          <w:tcPr>
            <w:tcW w:w="2153" w:type="dxa"/>
          </w:tcPr>
          <w:p w14:paraId="4E99C74A">
            <w:r>
              <w:rPr>
                <w:rFonts w:ascii="Times New Roman" w:hAnsi="Times New Roman" w:eastAsia="宋体"/>
                <w:sz w:val="20"/>
              </w:rPr>
              <w:t>性别</w:t>
            </w:r>
          </w:p>
        </w:tc>
        <w:tc>
          <w:tcPr>
            <w:tcW w:w="2153" w:type="dxa"/>
          </w:tcPr>
          <w:p w14:paraId="26900DD1">
            <w:r>
              <w:rPr>
                <w:rFonts w:ascii="Times New Roman" w:hAnsi="Times New Roman" w:eastAsia="宋体"/>
                <w:sz w:val="20"/>
              </w:rPr>
              <w:t>分类</w:t>
            </w:r>
          </w:p>
        </w:tc>
        <w:tc>
          <w:tcPr>
            <w:tcW w:w="2153" w:type="dxa"/>
          </w:tcPr>
          <w:p w14:paraId="3A75077E">
            <w:r>
              <w:rPr>
                <w:rFonts w:ascii="Times New Roman" w:hAnsi="Times New Roman" w:eastAsia="宋体"/>
                <w:sz w:val="20"/>
              </w:rPr>
              <w:t>男/女</w:t>
            </w:r>
          </w:p>
        </w:tc>
      </w:tr>
      <w:tr w14:paraId="1F9685E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6B17506"/>
        </w:tc>
        <w:tc>
          <w:tcPr>
            <w:tcW w:w="2153" w:type="dxa"/>
          </w:tcPr>
          <w:p w14:paraId="717EA557">
            <w:r>
              <w:rPr>
                <w:rFonts w:ascii="Times New Roman" w:hAnsi="Times New Roman" w:eastAsia="宋体"/>
                <w:sz w:val="20"/>
              </w:rPr>
              <w:t>注册院区</w:t>
            </w:r>
          </w:p>
        </w:tc>
        <w:tc>
          <w:tcPr>
            <w:tcW w:w="2153" w:type="dxa"/>
          </w:tcPr>
          <w:p w14:paraId="3333EEB0">
            <w:r>
              <w:rPr>
                <w:rFonts w:ascii="Times New Roman" w:hAnsi="Times New Roman" w:eastAsia="宋体"/>
                <w:sz w:val="20"/>
              </w:rPr>
              <w:t>编码</w:t>
            </w:r>
          </w:p>
        </w:tc>
        <w:tc>
          <w:tcPr>
            <w:tcW w:w="2153" w:type="dxa"/>
          </w:tcPr>
          <w:p w14:paraId="389A5B4F">
            <w:r>
              <w:rPr>
                <w:rFonts w:ascii="Times New Roman" w:hAnsi="Times New Roman" w:eastAsia="宋体"/>
                <w:sz w:val="20"/>
              </w:rPr>
              <w:t>首次注册选择的院区</w:t>
            </w:r>
          </w:p>
        </w:tc>
      </w:tr>
      <w:tr w14:paraId="0E0EAC8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2B4F92F">
            <w:r>
              <w:rPr>
                <w:rFonts w:ascii="Times New Roman" w:hAnsi="Times New Roman" w:eastAsia="宋体"/>
                <w:sz w:val="20"/>
              </w:rPr>
              <w:t>事件日志</w:t>
            </w:r>
          </w:p>
        </w:tc>
        <w:tc>
          <w:tcPr>
            <w:tcW w:w="2153" w:type="dxa"/>
          </w:tcPr>
          <w:p w14:paraId="2D7CC06F">
            <w:r>
              <w:rPr>
                <w:rFonts w:ascii="Times New Roman" w:hAnsi="Times New Roman" w:eastAsia="宋体"/>
                <w:sz w:val="20"/>
              </w:rPr>
              <w:t>事件ID</w:t>
            </w:r>
          </w:p>
        </w:tc>
        <w:tc>
          <w:tcPr>
            <w:tcW w:w="2153" w:type="dxa"/>
          </w:tcPr>
          <w:p w14:paraId="2EB627FF">
            <w:r>
              <w:rPr>
                <w:rFonts w:ascii="Times New Roman" w:hAnsi="Times New Roman" w:eastAsia="宋体"/>
                <w:sz w:val="20"/>
              </w:rPr>
              <w:t>流水号</w:t>
            </w:r>
          </w:p>
        </w:tc>
        <w:tc>
          <w:tcPr>
            <w:tcW w:w="2153" w:type="dxa"/>
          </w:tcPr>
          <w:p w14:paraId="35520CC0">
            <w:r>
              <w:rPr>
                <w:rFonts w:ascii="Times New Roman" w:hAnsi="Times New Roman" w:eastAsia="宋体"/>
                <w:sz w:val="20"/>
              </w:rPr>
              <w:t>每次业务操作的唯一标识</w:t>
            </w:r>
          </w:p>
        </w:tc>
      </w:tr>
      <w:tr w14:paraId="6D20463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51DD85FC"/>
        </w:tc>
        <w:tc>
          <w:tcPr>
            <w:tcW w:w="2153" w:type="dxa"/>
          </w:tcPr>
          <w:p w14:paraId="274C1946">
            <w:r>
              <w:rPr>
                <w:rFonts w:ascii="Times New Roman" w:hAnsi="Times New Roman" w:eastAsia="宋体"/>
                <w:sz w:val="20"/>
              </w:rPr>
              <w:t>案例ID</w:t>
            </w:r>
          </w:p>
        </w:tc>
        <w:tc>
          <w:tcPr>
            <w:tcW w:w="2153" w:type="dxa"/>
          </w:tcPr>
          <w:p w14:paraId="77F0A43A">
            <w:r>
              <w:rPr>
                <w:rFonts w:ascii="Times New Roman" w:hAnsi="Times New Roman" w:eastAsia="宋体"/>
                <w:sz w:val="20"/>
              </w:rPr>
              <w:t>编码</w:t>
            </w:r>
          </w:p>
        </w:tc>
        <w:tc>
          <w:tcPr>
            <w:tcW w:w="2153" w:type="dxa"/>
          </w:tcPr>
          <w:p w14:paraId="3C5E28C7">
            <w:r>
              <w:rPr>
                <w:rFonts w:ascii="Times New Roman" w:hAnsi="Times New Roman" w:eastAsia="宋体"/>
                <w:sz w:val="20"/>
              </w:rPr>
              <w:t>一次完整就诊的标识</w:t>
            </w:r>
          </w:p>
        </w:tc>
      </w:tr>
      <w:tr w14:paraId="5EDB87C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EBAD067"/>
        </w:tc>
        <w:tc>
          <w:tcPr>
            <w:tcW w:w="2153" w:type="dxa"/>
          </w:tcPr>
          <w:p w14:paraId="268ED6F3">
            <w:r>
              <w:rPr>
                <w:rFonts w:ascii="Times New Roman" w:hAnsi="Times New Roman" w:eastAsia="宋体"/>
                <w:sz w:val="20"/>
              </w:rPr>
              <w:t>事件类型</w:t>
            </w:r>
          </w:p>
        </w:tc>
        <w:tc>
          <w:tcPr>
            <w:tcW w:w="2153" w:type="dxa"/>
          </w:tcPr>
          <w:p w14:paraId="314837CA">
            <w:r>
              <w:rPr>
                <w:rFonts w:ascii="Times New Roman" w:hAnsi="Times New Roman" w:eastAsia="宋体"/>
                <w:sz w:val="20"/>
              </w:rPr>
              <w:t>分类</w:t>
            </w:r>
          </w:p>
        </w:tc>
        <w:tc>
          <w:tcPr>
            <w:tcW w:w="2153" w:type="dxa"/>
          </w:tcPr>
          <w:p w14:paraId="44882CE1">
            <w:r>
              <w:rPr>
                <w:rFonts w:ascii="Times New Roman" w:hAnsi="Times New Roman" w:eastAsia="宋体"/>
                <w:sz w:val="20"/>
              </w:rPr>
              <w:t>问诊/处方/检查申请/检查完成/取药等</w:t>
            </w:r>
          </w:p>
        </w:tc>
      </w:tr>
      <w:tr w14:paraId="500BCE2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77E994D"/>
        </w:tc>
        <w:tc>
          <w:tcPr>
            <w:tcW w:w="2153" w:type="dxa"/>
          </w:tcPr>
          <w:p w14:paraId="79149385">
            <w:r>
              <w:rPr>
                <w:rFonts w:ascii="Times New Roman" w:hAnsi="Times New Roman" w:eastAsia="宋体"/>
                <w:sz w:val="20"/>
              </w:rPr>
              <w:t>时间戳</w:t>
            </w:r>
          </w:p>
        </w:tc>
        <w:tc>
          <w:tcPr>
            <w:tcW w:w="2153" w:type="dxa"/>
          </w:tcPr>
          <w:p w14:paraId="7DBE4B62">
            <w:r>
              <w:rPr>
                <w:rFonts w:ascii="Times New Roman" w:hAnsi="Times New Roman" w:eastAsia="宋体"/>
                <w:sz w:val="20"/>
              </w:rPr>
              <w:t>时间</w:t>
            </w:r>
          </w:p>
        </w:tc>
        <w:tc>
          <w:tcPr>
            <w:tcW w:w="2153" w:type="dxa"/>
          </w:tcPr>
          <w:p w14:paraId="3999B23B">
            <w:r>
              <w:rPr>
                <w:rFonts w:ascii="Times New Roman" w:hAnsi="Times New Roman" w:eastAsia="宋体"/>
                <w:sz w:val="20"/>
              </w:rPr>
              <w:t>精确到秒</w:t>
            </w:r>
          </w:p>
        </w:tc>
      </w:tr>
      <w:tr w14:paraId="1DA0C2F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9873C18"/>
        </w:tc>
        <w:tc>
          <w:tcPr>
            <w:tcW w:w="2153" w:type="dxa"/>
          </w:tcPr>
          <w:p w14:paraId="1453F239">
            <w:r>
              <w:rPr>
                <w:rFonts w:ascii="Times New Roman" w:hAnsi="Times New Roman" w:eastAsia="宋体"/>
                <w:sz w:val="20"/>
              </w:rPr>
              <w:t>操作者</w:t>
            </w:r>
          </w:p>
        </w:tc>
        <w:tc>
          <w:tcPr>
            <w:tcW w:w="2153" w:type="dxa"/>
          </w:tcPr>
          <w:p w14:paraId="19587024">
            <w:r>
              <w:rPr>
                <w:rFonts w:ascii="Times New Roman" w:hAnsi="Times New Roman" w:eastAsia="宋体"/>
                <w:sz w:val="20"/>
              </w:rPr>
              <w:t>编码</w:t>
            </w:r>
          </w:p>
        </w:tc>
        <w:tc>
          <w:tcPr>
            <w:tcW w:w="2153" w:type="dxa"/>
          </w:tcPr>
          <w:p w14:paraId="29A379C7">
            <w:r>
              <w:rPr>
                <w:rFonts w:ascii="Times New Roman" w:hAnsi="Times New Roman" w:eastAsia="宋体"/>
                <w:sz w:val="20"/>
              </w:rPr>
              <w:t>医生ID或患者ID</w:t>
            </w:r>
          </w:p>
        </w:tc>
      </w:tr>
      <w:tr w14:paraId="4943F3E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1E234E8"/>
        </w:tc>
        <w:tc>
          <w:tcPr>
            <w:tcW w:w="2153" w:type="dxa"/>
          </w:tcPr>
          <w:p w14:paraId="464DCB1B">
            <w:r>
              <w:rPr>
                <w:rFonts w:ascii="Times New Roman" w:hAnsi="Times New Roman" w:eastAsia="宋体"/>
                <w:sz w:val="20"/>
              </w:rPr>
              <w:t>操作者角色</w:t>
            </w:r>
          </w:p>
        </w:tc>
        <w:tc>
          <w:tcPr>
            <w:tcW w:w="2153" w:type="dxa"/>
          </w:tcPr>
          <w:p w14:paraId="52E6A8C9">
            <w:r>
              <w:rPr>
                <w:rFonts w:ascii="Times New Roman" w:hAnsi="Times New Roman" w:eastAsia="宋体"/>
                <w:sz w:val="20"/>
              </w:rPr>
              <w:t>分类</w:t>
            </w:r>
          </w:p>
        </w:tc>
        <w:tc>
          <w:tcPr>
            <w:tcW w:w="2153" w:type="dxa"/>
          </w:tcPr>
          <w:p w14:paraId="2D4FED5D">
            <w:r>
              <w:rPr>
                <w:rFonts w:ascii="Times New Roman" w:hAnsi="Times New Roman" w:eastAsia="宋体"/>
                <w:sz w:val="20"/>
              </w:rPr>
              <w:t>患者/医生/药师/系统</w:t>
            </w:r>
          </w:p>
        </w:tc>
      </w:tr>
      <w:tr w14:paraId="197D7B1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E68B826"/>
        </w:tc>
        <w:tc>
          <w:tcPr>
            <w:tcW w:w="2153" w:type="dxa"/>
          </w:tcPr>
          <w:p w14:paraId="0D168D52">
            <w:r>
              <w:rPr>
                <w:rFonts w:ascii="Times New Roman" w:hAnsi="Times New Roman" w:eastAsia="宋体"/>
                <w:sz w:val="20"/>
              </w:rPr>
              <w:t>发生院区</w:t>
            </w:r>
          </w:p>
        </w:tc>
        <w:tc>
          <w:tcPr>
            <w:tcW w:w="2153" w:type="dxa"/>
          </w:tcPr>
          <w:p w14:paraId="51C99D67">
            <w:r>
              <w:rPr>
                <w:rFonts w:ascii="Times New Roman" w:hAnsi="Times New Roman" w:eastAsia="宋体"/>
                <w:sz w:val="20"/>
              </w:rPr>
              <w:t>编码</w:t>
            </w:r>
          </w:p>
        </w:tc>
        <w:tc>
          <w:tcPr>
            <w:tcW w:w="2153" w:type="dxa"/>
          </w:tcPr>
          <w:p w14:paraId="28E43122">
            <w:r>
              <w:rPr>
                <w:rFonts w:ascii="Times New Roman" w:hAnsi="Times New Roman" w:eastAsia="宋体"/>
                <w:sz w:val="20"/>
              </w:rPr>
              <w:t>医院A/B/C/D/E</w:t>
            </w:r>
          </w:p>
        </w:tc>
      </w:tr>
      <w:tr w14:paraId="213A487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15F3220"/>
        </w:tc>
        <w:tc>
          <w:tcPr>
            <w:tcW w:w="2153" w:type="dxa"/>
          </w:tcPr>
          <w:p w14:paraId="2FD4808E">
            <w:r>
              <w:rPr>
                <w:rFonts w:ascii="Times New Roman" w:hAnsi="Times New Roman" w:eastAsia="宋体"/>
                <w:sz w:val="20"/>
              </w:rPr>
              <w:t>所属科室</w:t>
            </w:r>
          </w:p>
        </w:tc>
        <w:tc>
          <w:tcPr>
            <w:tcW w:w="2153" w:type="dxa"/>
          </w:tcPr>
          <w:p w14:paraId="635C0E3C">
            <w:r>
              <w:rPr>
                <w:rFonts w:ascii="Times New Roman" w:hAnsi="Times New Roman" w:eastAsia="宋体"/>
                <w:sz w:val="20"/>
              </w:rPr>
              <w:t>编码</w:t>
            </w:r>
          </w:p>
        </w:tc>
        <w:tc>
          <w:tcPr>
            <w:tcW w:w="2153" w:type="dxa"/>
          </w:tcPr>
          <w:p w14:paraId="619AF5A7">
            <w:r>
              <w:rPr>
                <w:rFonts w:ascii="Times New Roman" w:hAnsi="Times New Roman" w:eastAsia="宋体"/>
                <w:sz w:val="20"/>
              </w:rPr>
              <w:t>内科/外科/妇产科/儿科等</w:t>
            </w:r>
          </w:p>
        </w:tc>
      </w:tr>
      <w:tr w14:paraId="083D930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F0F310D"/>
        </w:tc>
        <w:tc>
          <w:tcPr>
            <w:tcW w:w="2153" w:type="dxa"/>
          </w:tcPr>
          <w:p w14:paraId="369D3303">
            <w:r>
              <w:rPr>
                <w:rFonts w:ascii="Times New Roman" w:hAnsi="Times New Roman" w:eastAsia="宋体"/>
                <w:sz w:val="20"/>
              </w:rPr>
              <w:t>事件状态</w:t>
            </w:r>
          </w:p>
        </w:tc>
        <w:tc>
          <w:tcPr>
            <w:tcW w:w="2153" w:type="dxa"/>
          </w:tcPr>
          <w:p w14:paraId="4637BE99">
            <w:r>
              <w:rPr>
                <w:rFonts w:ascii="Times New Roman" w:hAnsi="Times New Roman" w:eastAsia="宋体"/>
                <w:sz w:val="20"/>
              </w:rPr>
              <w:t>分类</w:t>
            </w:r>
          </w:p>
        </w:tc>
        <w:tc>
          <w:tcPr>
            <w:tcW w:w="2153" w:type="dxa"/>
          </w:tcPr>
          <w:p w14:paraId="0C2C2E28">
            <w:r>
              <w:rPr>
                <w:rFonts w:ascii="Times New Roman" w:hAnsi="Times New Roman" w:eastAsia="宋体"/>
                <w:sz w:val="20"/>
              </w:rPr>
              <w:t>进行中/已完成/已取消</w:t>
            </w:r>
          </w:p>
        </w:tc>
      </w:tr>
      <w:tr w14:paraId="4DF8AF1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91E53DB">
            <w:r>
              <w:rPr>
                <w:rFonts w:ascii="Times New Roman" w:hAnsi="Times New Roman" w:eastAsia="宋体"/>
                <w:sz w:val="20"/>
              </w:rPr>
              <w:t>问诊记录</w:t>
            </w:r>
          </w:p>
        </w:tc>
        <w:tc>
          <w:tcPr>
            <w:tcW w:w="2153" w:type="dxa"/>
          </w:tcPr>
          <w:p w14:paraId="57297729">
            <w:r>
              <w:rPr>
                <w:rFonts w:ascii="Times New Roman" w:hAnsi="Times New Roman" w:eastAsia="宋体"/>
                <w:sz w:val="20"/>
              </w:rPr>
              <w:t>问诊ID</w:t>
            </w:r>
          </w:p>
        </w:tc>
        <w:tc>
          <w:tcPr>
            <w:tcW w:w="2153" w:type="dxa"/>
          </w:tcPr>
          <w:p w14:paraId="532F4BAF">
            <w:r>
              <w:rPr>
                <w:rFonts w:ascii="Times New Roman" w:hAnsi="Times New Roman" w:eastAsia="宋体"/>
                <w:sz w:val="20"/>
              </w:rPr>
              <w:t>流水号</w:t>
            </w:r>
          </w:p>
        </w:tc>
        <w:tc>
          <w:tcPr>
            <w:tcW w:w="2153" w:type="dxa"/>
          </w:tcPr>
          <w:p w14:paraId="70B2E74C">
            <w:r>
              <w:rPr>
                <w:rFonts w:ascii="Times New Roman" w:hAnsi="Times New Roman" w:eastAsia="宋体"/>
                <w:sz w:val="20"/>
              </w:rPr>
              <w:t>每次问诊的唯一标识</w:t>
            </w:r>
          </w:p>
        </w:tc>
      </w:tr>
      <w:tr w14:paraId="42F56BA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8577458"/>
        </w:tc>
        <w:tc>
          <w:tcPr>
            <w:tcW w:w="2153" w:type="dxa"/>
          </w:tcPr>
          <w:p w14:paraId="6E119D0A">
            <w:r>
              <w:rPr>
                <w:rFonts w:ascii="Times New Roman" w:hAnsi="Times New Roman" w:eastAsia="宋体"/>
                <w:sz w:val="20"/>
              </w:rPr>
              <w:t>问诊类型</w:t>
            </w:r>
          </w:p>
        </w:tc>
        <w:tc>
          <w:tcPr>
            <w:tcW w:w="2153" w:type="dxa"/>
          </w:tcPr>
          <w:p w14:paraId="1A502319">
            <w:r>
              <w:rPr>
                <w:rFonts w:ascii="Times New Roman" w:hAnsi="Times New Roman" w:eastAsia="宋体"/>
                <w:sz w:val="20"/>
              </w:rPr>
              <w:t>分类</w:t>
            </w:r>
          </w:p>
        </w:tc>
        <w:tc>
          <w:tcPr>
            <w:tcW w:w="2153" w:type="dxa"/>
          </w:tcPr>
          <w:p w14:paraId="4AD3BD59">
            <w:r>
              <w:rPr>
                <w:rFonts w:ascii="Times New Roman" w:hAnsi="Times New Roman" w:eastAsia="宋体"/>
                <w:sz w:val="20"/>
              </w:rPr>
              <w:t>图文/语音/视频</w:t>
            </w:r>
          </w:p>
        </w:tc>
      </w:tr>
      <w:tr w14:paraId="5D49593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A6E8F07"/>
        </w:tc>
        <w:tc>
          <w:tcPr>
            <w:tcW w:w="2153" w:type="dxa"/>
          </w:tcPr>
          <w:p w14:paraId="3078E8B2">
            <w:r>
              <w:rPr>
                <w:rFonts w:ascii="Times New Roman" w:hAnsi="Times New Roman" w:eastAsia="宋体"/>
                <w:sz w:val="20"/>
              </w:rPr>
              <w:t>问诊开始时间</w:t>
            </w:r>
          </w:p>
        </w:tc>
        <w:tc>
          <w:tcPr>
            <w:tcW w:w="2153" w:type="dxa"/>
          </w:tcPr>
          <w:p w14:paraId="6CFD3E15">
            <w:r>
              <w:rPr>
                <w:rFonts w:ascii="Times New Roman" w:hAnsi="Times New Roman" w:eastAsia="宋体"/>
                <w:sz w:val="20"/>
              </w:rPr>
              <w:t>时间</w:t>
            </w:r>
          </w:p>
        </w:tc>
        <w:tc>
          <w:tcPr>
            <w:tcW w:w="2153" w:type="dxa"/>
          </w:tcPr>
          <w:p w14:paraId="65F45D7A">
            <w:r>
              <w:rPr>
                <w:rFonts w:ascii="Times New Roman" w:hAnsi="Times New Roman" w:eastAsia="宋体"/>
                <w:sz w:val="20"/>
              </w:rPr>
              <w:t>精确到秒</w:t>
            </w:r>
          </w:p>
        </w:tc>
      </w:tr>
      <w:tr w14:paraId="38F3146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C8881F7"/>
        </w:tc>
        <w:tc>
          <w:tcPr>
            <w:tcW w:w="2153" w:type="dxa"/>
          </w:tcPr>
          <w:p w14:paraId="457E5303">
            <w:r>
              <w:rPr>
                <w:rFonts w:ascii="Times New Roman" w:hAnsi="Times New Roman" w:eastAsia="宋体"/>
                <w:sz w:val="20"/>
              </w:rPr>
              <w:t>接诊时间</w:t>
            </w:r>
          </w:p>
        </w:tc>
        <w:tc>
          <w:tcPr>
            <w:tcW w:w="2153" w:type="dxa"/>
          </w:tcPr>
          <w:p w14:paraId="1AA10B1B">
            <w:r>
              <w:rPr>
                <w:rFonts w:ascii="Times New Roman" w:hAnsi="Times New Roman" w:eastAsia="宋体"/>
                <w:sz w:val="20"/>
              </w:rPr>
              <w:t>时间</w:t>
            </w:r>
          </w:p>
        </w:tc>
        <w:tc>
          <w:tcPr>
            <w:tcW w:w="2153" w:type="dxa"/>
          </w:tcPr>
          <w:p w14:paraId="164B3500">
            <w:r>
              <w:rPr>
                <w:rFonts w:ascii="Times New Roman" w:hAnsi="Times New Roman" w:eastAsia="宋体"/>
                <w:sz w:val="20"/>
              </w:rPr>
              <w:t>精确到秒</w:t>
            </w:r>
          </w:p>
        </w:tc>
      </w:tr>
      <w:tr w14:paraId="2DD3806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FD33515"/>
        </w:tc>
        <w:tc>
          <w:tcPr>
            <w:tcW w:w="2153" w:type="dxa"/>
          </w:tcPr>
          <w:p w14:paraId="432D4790">
            <w:r>
              <w:rPr>
                <w:rFonts w:ascii="Times New Roman" w:hAnsi="Times New Roman" w:eastAsia="宋体"/>
                <w:sz w:val="20"/>
              </w:rPr>
              <w:t>问诊结束时间</w:t>
            </w:r>
          </w:p>
        </w:tc>
        <w:tc>
          <w:tcPr>
            <w:tcW w:w="2153" w:type="dxa"/>
          </w:tcPr>
          <w:p w14:paraId="60AA5BFC">
            <w:r>
              <w:rPr>
                <w:rFonts w:ascii="Times New Roman" w:hAnsi="Times New Roman" w:eastAsia="宋体"/>
                <w:sz w:val="20"/>
              </w:rPr>
              <w:t>时间</w:t>
            </w:r>
          </w:p>
        </w:tc>
        <w:tc>
          <w:tcPr>
            <w:tcW w:w="2153" w:type="dxa"/>
          </w:tcPr>
          <w:p w14:paraId="71F4A4D7">
            <w:r>
              <w:rPr>
                <w:rFonts w:ascii="Times New Roman" w:hAnsi="Times New Roman" w:eastAsia="宋体"/>
                <w:sz w:val="20"/>
              </w:rPr>
              <w:t>精确到秒</w:t>
            </w:r>
          </w:p>
        </w:tc>
      </w:tr>
      <w:tr w14:paraId="7A7A818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670CE23"/>
        </w:tc>
        <w:tc>
          <w:tcPr>
            <w:tcW w:w="2153" w:type="dxa"/>
          </w:tcPr>
          <w:p w14:paraId="33EBAE7F">
            <w:r>
              <w:rPr>
                <w:rFonts w:ascii="Times New Roman" w:hAnsi="Times New Roman" w:eastAsia="宋体"/>
                <w:sz w:val="20"/>
              </w:rPr>
              <w:t>诊断结果</w:t>
            </w:r>
          </w:p>
        </w:tc>
        <w:tc>
          <w:tcPr>
            <w:tcW w:w="2153" w:type="dxa"/>
          </w:tcPr>
          <w:p w14:paraId="46912505">
            <w:r>
              <w:rPr>
                <w:rFonts w:ascii="Times New Roman" w:hAnsi="Times New Roman" w:eastAsia="宋体"/>
                <w:sz w:val="20"/>
              </w:rPr>
              <w:t>文本</w:t>
            </w:r>
          </w:p>
        </w:tc>
        <w:tc>
          <w:tcPr>
            <w:tcW w:w="2153" w:type="dxa"/>
          </w:tcPr>
          <w:p w14:paraId="53E2F8AF">
            <w:r>
              <w:rPr>
                <w:rFonts w:ascii="Times New Roman" w:hAnsi="Times New Roman" w:eastAsia="宋体"/>
                <w:sz w:val="20"/>
              </w:rPr>
              <w:t>医生的初步诊断</w:t>
            </w:r>
          </w:p>
        </w:tc>
      </w:tr>
      <w:tr w14:paraId="41D5365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E949DAF">
            <w:r>
              <w:rPr>
                <w:rFonts w:ascii="Times New Roman" w:hAnsi="Times New Roman" w:eastAsia="宋体"/>
                <w:sz w:val="20"/>
              </w:rPr>
              <w:t>处方记录</w:t>
            </w:r>
          </w:p>
        </w:tc>
        <w:tc>
          <w:tcPr>
            <w:tcW w:w="2153" w:type="dxa"/>
          </w:tcPr>
          <w:p w14:paraId="5B34486A">
            <w:r>
              <w:rPr>
                <w:rFonts w:ascii="Times New Roman" w:hAnsi="Times New Roman" w:eastAsia="宋体"/>
                <w:sz w:val="20"/>
              </w:rPr>
              <w:t>处方ID</w:t>
            </w:r>
          </w:p>
        </w:tc>
        <w:tc>
          <w:tcPr>
            <w:tcW w:w="2153" w:type="dxa"/>
          </w:tcPr>
          <w:p w14:paraId="55051CFC">
            <w:r>
              <w:rPr>
                <w:rFonts w:ascii="Times New Roman" w:hAnsi="Times New Roman" w:eastAsia="宋体"/>
                <w:sz w:val="20"/>
              </w:rPr>
              <w:t>流水号</w:t>
            </w:r>
          </w:p>
        </w:tc>
        <w:tc>
          <w:tcPr>
            <w:tcW w:w="2153" w:type="dxa"/>
          </w:tcPr>
          <w:p w14:paraId="5E533B3D">
            <w:r>
              <w:rPr>
                <w:rFonts w:ascii="Times New Roman" w:hAnsi="Times New Roman" w:eastAsia="宋体"/>
                <w:sz w:val="20"/>
              </w:rPr>
              <w:t>每次处方的唯一标识</w:t>
            </w:r>
          </w:p>
        </w:tc>
      </w:tr>
      <w:tr w14:paraId="298838F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585972CF"/>
        </w:tc>
        <w:tc>
          <w:tcPr>
            <w:tcW w:w="2153" w:type="dxa"/>
          </w:tcPr>
          <w:p w14:paraId="6D502AB9">
            <w:r>
              <w:rPr>
                <w:rFonts w:ascii="Times New Roman" w:hAnsi="Times New Roman" w:eastAsia="宋体"/>
                <w:sz w:val="20"/>
              </w:rPr>
              <w:t>处方类型</w:t>
            </w:r>
          </w:p>
        </w:tc>
        <w:tc>
          <w:tcPr>
            <w:tcW w:w="2153" w:type="dxa"/>
          </w:tcPr>
          <w:p w14:paraId="1834E2C4">
            <w:r>
              <w:rPr>
                <w:rFonts w:ascii="Times New Roman" w:hAnsi="Times New Roman" w:eastAsia="宋体"/>
                <w:sz w:val="20"/>
              </w:rPr>
              <w:t>分类</w:t>
            </w:r>
          </w:p>
        </w:tc>
        <w:tc>
          <w:tcPr>
            <w:tcW w:w="2153" w:type="dxa"/>
          </w:tcPr>
          <w:p w14:paraId="733F8E5D">
            <w:r>
              <w:rPr>
                <w:rFonts w:ascii="Times New Roman" w:hAnsi="Times New Roman" w:eastAsia="宋体"/>
                <w:sz w:val="20"/>
              </w:rPr>
              <w:t>西药/中成药/中药饮片</w:t>
            </w:r>
          </w:p>
        </w:tc>
      </w:tr>
      <w:tr w14:paraId="3C56053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261F798"/>
        </w:tc>
        <w:tc>
          <w:tcPr>
            <w:tcW w:w="2153" w:type="dxa"/>
          </w:tcPr>
          <w:p w14:paraId="73C50E91">
            <w:r>
              <w:rPr>
                <w:rFonts w:ascii="Times New Roman" w:hAnsi="Times New Roman" w:eastAsia="宋体"/>
                <w:sz w:val="20"/>
              </w:rPr>
              <w:t>药品数量</w:t>
            </w:r>
          </w:p>
        </w:tc>
        <w:tc>
          <w:tcPr>
            <w:tcW w:w="2153" w:type="dxa"/>
          </w:tcPr>
          <w:p w14:paraId="07708DBD">
            <w:r>
              <w:rPr>
                <w:rFonts w:ascii="Times New Roman" w:hAnsi="Times New Roman" w:eastAsia="宋体"/>
                <w:sz w:val="20"/>
              </w:rPr>
              <w:t>数值</w:t>
            </w:r>
          </w:p>
        </w:tc>
        <w:tc>
          <w:tcPr>
            <w:tcW w:w="2153" w:type="dxa"/>
          </w:tcPr>
          <w:p w14:paraId="2489706D">
            <w:r>
              <w:rPr>
                <w:rFonts w:ascii="Times New Roman" w:hAnsi="Times New Roman" w:eastAsia="宋体"/>
                <w:sz w:val="20"/>
              </w:rPr>
              <w:t>处方中的药品品种数</w:t>
            </w:r>
          </w:p>
        </w:tc>
      </w:tr>
      <w:tr w14:paraId="1449AF1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7364E2E"/>
        </w:tc>
        <w:tc>
          <w:tcPr>
            <w:tcW w:w="2153" w:type="dxa"/>
          </w:tcPr>
          <w:p w14:paraId="7549BBF9">
            <w:r>
              <w:rPr>
                <w:rFonts w:ascii="Times New Roman" w:hAnsi="Times New Roman" w:eastAsia="宋体"/>
                <w:sz w:val="20"/>
              </w:rPr>
              <w:t>处方金额</w:t>
            </w:r>
          </w:p>
        </w:tc>
        <w:tc>
          <w:tcPr>
            <w:tcW w:w="2153" w:type="dxa"/>
          </w:tcPr>
          <w:p w14:paraId="1763F1DE">
            <w:r>
              <w:rPr>
                <w:rFonts w:ascii="Times New Roman" w:hAnsi="Times New Roman" w:eastAsia="宋体"/>
                <w:sz w:val="20"/>
              </w:rPr>
              <w:t>数值</w:t>
            </w:r>
          </w:p>
        </w:tc>
        <w:tc>
          <w:tcPr>
            <w:tcW w:w="2153" w:type="dxa"/>
          </w:tcPr>
          <w:p w14:paraId="106905AF">
            <w:r>
              <w:rPr>
                <w:rFonts w:ascii="Times New Roman" w:hAnsi="Times New Roman" w:eastAsia="宋体"/>
                <w:sz w:val="20"/>
              </w:rPr>
              <w:t>金额（元）</w:t>
            </w:r>
          </w:p>
        </w:tc>
      </w:tr>
      <w:tr w14:paraId="617FA0C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4D4897E"/>
        </w:tc>
        <w:tc>
          <w:tcPr>
            <w:tcW w:w="2153" w:type="dxa"/>
          </w:tcPr>
          <w:p w14:paraId="3F6ECDE2">
            <w:r>
              <w:rPr>
                <w:rFonts w:ascii="Times New Roman" w:hAnsi="Times New Roman" w:eastAsia="宋体"/>
                <w:sz w:val="20"/>
              </w:rPr>
              <w:t>处方状态</w:t>
            </w:r>
          </w:p>
        </w:tc>
        <w:tc>
          <w:tcPr>
            <w:tcW w:w="2153" w:type="dxa"/>
          </w:tcPr>
          <w:p w14:paraId="44F935A3">
            <w:r>
              <w:rPr>
                <w:rFonts w:ascii="Times New Roman" w:hAnsi="Times New Roman" w:eastAsia="宋体"/>
                <w:sz w:val="20"/>
              </w:rPr>
              <w:t>分类</w:t>
            </w:r>
          </w:p>
        </w:tc>
        <w:tc>
          <w:tcPr>
            <w:tcW w:w="2153" w:type="dxa"/>
          </w:tcPr>
          <w:p w14:paraId="506012A4">
            <w:r>
              <w:rPr>
                <w:rFonts w:ascii="Times New Roman" w:hAnsi="Times New Roman" w:eastAsia="宋体"/>
                <w:sz w:val="20"/>
              </w:rPr>
              <w:t>待审核/已审核/已调配/已取药</w:t>
            </w:r>
          </w:p>
        </w:tc>
      </w:tr>
      <w:tr w14:paraId="4383941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C56F753">
            <w:r>
              <w:rPr>
                <w:rFonts w:ascii="Times New Roman" w:hAnsi="Times New Roman" w:eastAsia="宋体"/>
                <w:sz w:val="20"/>
              </w:rPr>
              <w:t>检查记录</w:t>
            </w:r>
          </w:p>
        </w:tc>
        <w:tc>
          <w:tcPr>
            <w:tcW w:w="2153" w:type="dxa"/>
          </w:tcPr>
          <w:p w14:paraId="2388C3DF">
            <w:r>
              <w:rPr>
                <w:rFonts w:ascii="Times New Roman" w:hAnsi="Times New Roman" w:eastAsia="宋体"/>
                <w:sz w:val="20"/>
              </w:rPr>
              <w:t>检查ID</w:t>
            </w:r>
          </w:p>
        </w:tc>
        <w:tc>
          <w:tcPr>
            <w:tcW w:w="2153" w:type="dxa"/>
          </w:tcPr>
          <w:p w14:paraId="6BF9FA96">
            <w:r>
              <w:rPr>
                <w:rFonts w:ascii="Times New Roman" w:hAnsi="Times New Roman" w:eastAsia="宋体"/>
                <w:sz w:val="20"/>
              </w:rPr>
              <w:t>流水号</w:t>
            </w:r>
          </w:p>
        </w:tc>
        <w:tc>
          <w:tcPr>
            <w:tcW w:w="2153" w:type="dxa"/>
          </w:tcPr>
          <w:p w14:paraId="5F2A33DC">
            <w:r>
              <w:rPr>
                <w:rFonts w:ascii="Times New Roman" w:hAnsi="Times New Roman" w:eastAsia="宋体"/>
                <w:sz w:val="20"/>
              </w:rPr>
              <w:t>每次检查申请的唯一标识</w:t>
            </w:r>
          </w:p>
        </w:tc>
      </w:tr>
      <w:tr w14:paraId="20EEE13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93DBC79"/>
        </w:tc>
        <w:tc>
          <w:tcPr>
            <w:tcW w:w="2153" w:type="dxa"/>
          </w:tcPr>
          <w:p w14:paraId="37C1FBA6">
            <w:r>
              <w:rPr>
                <w:rFonts w:ascii="Times New Roman" w:hAnsi="Times New Roman" w:eastAsia="宋体"/>
                <w:sz w:val="20"/>
              </w:rPr>
              <w:t>检查类型</w:t>
            </w:r>
          </w:p>
        </w:tc>
        <w:tc>
          <w:tcPr>
            <w:tcW w:w="2153" w:type="dxa"/>
          </w:tcPr>
          <w:p w14:paraId="03C575AE">
            <w:r>
              <w:rPr>
                <w:rFonts w:ascii="Times New Roman" w:hAnsi="Times New Roman" w:eastAsia="宋体"/>
                <w:sz w:val="20"/>
              </w:rPr>
              <w:t>分类</w:t>
            </w:r>
          </w:p>
        </w:tc>
        <w:tc>
          <w:tcPr>
            <w:tcW w:w="2153" w:type="dxa"/>
          </w:tcPr>
          <w:p w14:paraId="46C35489">
            <w:r>
              <w:rPr>
                <w:rFonts w:ascii="Times New Roman" w:hAnsi="Times New Roman" w:eastAsia="宋体"/>
                <w:sz w:val="20"/>
              </w:rPr>
              <w:t>检验/影像/功能检查</w:t>
            </w:r>
          </w:p>
        </w:tc>
      </w:tr>
      <w:tr w14:paraId="1E90544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832917C"/>
        </w:tc>
        <w:tc>
          <w:tcPr>
            <w:tcW w:w="2153" w:type="dxa"/>
          </w:tcPr>
          <w:p w14:paraId="0F5A1C2D">
            <w:r>
              <w:rPr>
                <w:rFonts w:ascii="Times New Roman" w:hAnsi="Times New Roman" w:eastAsia="宋体"/>
                <w:sz w:val="20"/>
              </w:rPr>
              <w:t>申请时间</w:t>
            </w:r>
          </w:p>
        </w:tc>
        <w:tc>
          <w:tcPr>
            <w:tcW w:w="2153" w:type="dxa"/>
          </w:tcPr>
          <w:p w14:paraId="482C47C9">
            <w:r>
              <w:rPr>
                <w:rFonts w:ascii="Times New Roman" w:hAnsi="Times New Roman" w:eastAsia="宋体"/>
                <w:sz w:val="20"/>
              </w:rPr>
              <w:t>时间</w:t>
            </w:r>
          </w:p>
        </w:tc>
        <w:tc>
          <w:tcPr>
            <w:tcW w:w="2153" w:type="dxa"/>
          </w:tcPr>
          <w:p w14:paraId="6B2F7F94">
            <w:r>
              <w:rPr>
                <w:rFonts w:ascii="Times New Roman" w:hAnsi="Times New Roman" w:eastAsia="宋体"/>
                <w:sz w:val="20"/>
              </w:rPr>
              <w:t>精确到秒</w:t>
            </w:r>
          </w:p>
        </w:tc>
      </w:tr>
      <w:tr w14:paraId="62D858F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15B7900"/>
        </w:tc>
        <w:tc>
          <w:tcPr>
            <w:tcW w:w="2153" w:type="dxa"/>
          </w:tcPr>
          <w:p w14:paraId="5EFE250D">
            <w:r>
              <w:rPr>
                <w:rFonts w:ascii="Times New Roman" w:hAnsi="Times New Roman" w:eastAsia="宋体"/>
                <w:sz w:val="20"/>
              </w:rPr>
              <w:t>预约时间</w:t>
            </w:r>
          </w:p>
        </w:tc>
        <w:tc>
          <w:tcPr>
            <w:tcW w:w="2153" w:type="dxa"/>
          </w:tcPr>
          <w:p w14:paraId="749C3DA6">
            <w:r>
              <w:rPr>
                <w:rFonts w:ascii="Times New Roman" w:hAnsi="Times New Roman" w:eastAsia="宋体"/>
                <w:sz w:val="20"/>
              </w:rPr>
              <w:t>时间</w:t>
            </w:r>
          </w:p>
        </w:tc>
        <w:tc>
          <w:tcPr>
            <w:tcW w:w="2153" w:type="dxa"/>
          </w:tcPr>
          <w:p w14:paraId="432334B8">
            <w:r>
              <w:rPr>
                <w:rFonts w:ascii="Times New Roman" w:hAnsi="Times New Roman" w:eastAsia="宋体"/>
                <w:sz w:val="20"/>
              </w:rPr>
              <w:t>精确到秒</w:t>
            </w:r>
          </w:p>
        </w:tc>
      </w:tr>
      <w:tr w14:paraId="5797A85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BBED306"/>
        </w:tc>
        <w:tc>
          <w:tcPr>
            <w:tcW w:w="2153" w:type="dxa"/>
          </w:tcPr>
          <w:p w14:paraId="03687B81">
            <w:r>
              <w:rPr>
                <w:rFonts w:ascii="Times New Roman" w:hAnsi="Times New Roman" w:eastAsia="宋体"/>
                <w:sz w:val="20"/>
              </w:rPr>
              <w:t>完成时间</w:t>
            </w:r>
          </w:p>
        </w:tc>
        <w:tc>
          <w:tcPr>
            <w:tcW w:w="2153" w:type="dxa"/>
          </w:tcPr>
          <w:p w14:paraId="5E420947">
            <w:r>
              <w:rPr>
                <w:rFonts w:ascii="Times New Roman" w:hAnsi="Times New Roman" w:eastAsia="宋体"/>
                <w:sz w:val="20"/>
              </w:rPr>
              <w:t>时间</w:t>
            </w:r>
          </w:p>
        </w:tc>
        <w:tc>
          <w:tcPr>
            <w:tcW w:w="2153" w:type="dxa"/>
          </w:tcPr>
          <w:p w14:paraId="400E5CCD">
            <w:r>
              <w:rPr>
                <w:rFonts w:ascii="Times New Roman" w:hAnsi="Times New Roman" w:eastAsia="宋体"/>
                <w:sz w:val="20"/>
              </w:rPr>
              <w:t>精确到秒</w:t>
            </w:r>
          </w:p>
        </w:tc>
      </w:tr>
      <w:tr w14:paraId="5E255D3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6D0F60A"/>
        </w:tc>
        <w:tc>
          <w:tcPr>
            <w:tcW w:w="2153" w:type="dxa"/>
          </w:tcPr>
          <w:p w14:paraId="5E02689D">
            <w:r>
              <w:rPr>
                <w:rFonts w:ascii="Times New Roman" w:hAnsi="Times New Roman" w:eastAsia="宋体"/>
                <w:sz w:val="20"/>
              </w:rPr>
              <w:t>检查状态</w:t>
            </w:r>
          </w:p>
        </w:tc>
        <w:tc>
          <w:tcPr>
            <w:tcW w:w="2153" w:type="dxa"/>
          </w:tcPr>
          <w:p w14:paraId="6C6EF0B3">
            <w:r>
              <w:rPr>
                <w:rFonts w:ascii="Times New Roman" w:hAnsi="Times New Roman" w:eastAsia="宋体"/>
                <w:sz w:val="20"/>
              </w:rPr>
              <w:t>分类</w:t>
            </w:r>
          </w:p>
        </w:tc>
        <w:tc>
          <w:tcPr>
            <w:tcW w:w="2153" w:type="dxa"/>
          </w:tcPr>
          <w:p w14:paraId="0D970C13">
            <w:r>
              <w:rPr>
                <w:rFonts w:ascii="Times New Roman" w:hAnsi="Times New Roman" w:eastAsia="宋体"/>
                <w:sz w:val="20"/>
              </w:rPr>
              <w:t>待预约/已预约/已完成</w:t>
            </w:r>
          </w:p>
        </w:tc>
      </w:tr>
    </w:tbl>
    <w:p w14:paraId="61CB9AF0"/>
    <w:p w14:paraId="45567CA8">
      <w:pPr>
        <w:spacing w:before="240" w:after="120" w:line="240" w:lineRule="auto"/>
        <w:ind w:firstLine="520"/>
        <w:outlineLvl w:val="2"/>
      </w:pPr>
      <w:bookmarkStart w:id="38" w:name="_Toc31460"/>
      <w:r>
        <w:rPr>
          <w:rFonts w:ascii="Times New Roman" w:hAnsi="Times New Roman" w:eastAsia="黑体"/>
          <w:b/>
          <w:sz w:val="26"/>
        </w:rPr>
        <w:t>三、数据规模与概况</w:t>
      </w:r>
      <w:bookmarkEnd w:id="38"/>
    </w:p>
    <w:p w14:paraId="633F3656">
      <w:pPr>
        <w:spacing w:before="0" w:after="0" w:line="400" w:lineRule="exact"/>
        <w:ind w:firstLine="480"/>
        <w:jc w:val="both"/>
      </w:pPr>
      <w:r>
        <w:rPr>
          <w:rFonts w:ascii="Times New Roman" w:hAnsi="Times New Roman" w:eastAsia="宋体"/>
          <w:b w:val="0"/>
          <w:sz w:val="24"/>
        </w:rPr>
        <w:t>截至2026年5月，管理平台已积累事件日志数据共计1150万条，覆盖时间范围为2022年6月至2026年5月，跨度48个月。数据增长的轨迹很清楚：平台上线初期（2022年下半年）月均事件量约5.7万条，随着更多院区接入、用户习惯逐步养成，到2025年月均已增至约37万条，一路上行。事件类型上，问诊类占比最高（约38%），处方类次之（约25%），检查类约20%，取药类约12%，其余事件约5%。院区分布则明显向</w:t>
      </w:r>
      <w:r>
        <w:rPr>
          <w:rFonts w:hint="eastAsia" w:ascii="Times New Roman" w:hAnsi="Times New Roman"/>
          <w:b w:val="0"/>
          <w:sz w:val="24"/>
          <w:lang w:eastAsia="zh-CN"/>
        </w:rPr>
        <w:t>标杆医院</w:t>
      </w:r>
      <w:r>
        <w:rPr>
          <w:rFonts w:ascii="Times New Roman" w:hAnsi="Times New Roman" w:eastAsia="宋体"/>
          <w:b w:val="0"/>
          <w:sz w:val="24"/>
        </w:rPr>
        <w:t>倾斜：医院A的事件量占约45%，医院B、医院C各约20%，医院D和医院E合计约15%。</w:t>
      </w:r>
    </w:p>
    <w:p w14:paraId="04E7D454">
      <w:pPr>
        <w:spacing w:before="0" w:after="0" w:line="400" w:lineRule="exact"/>
        <w:ind w:firstLine="480"/>
        <w:jc w:val="both"/>
      </w:pPr>
      <w:r>
        <w:rPr>
          <w:rFonts w:ascii="Times New Roman" w:hAnsi="Times New Roman" w:eastAsia="宋体"/>
          <w:b w:val="0"/>
          <w:sz w:val="24"/>
        </w:rPr>
        <w:t>该数据集为本研究开展数据驱动的流程分析提供了较为充分的素材。事件日志中包含的时间戳、事件类型、院区标识和状态流转等字段，满足了过程分析法对事件日志数据的基本格式要求，即每条记录包含案例标识（Case ID）、活动名称（Activity）和时间戳（Timestamp）这三个核心要素。</w:t>
      </w:r>
    </w:p>
    <w:p w14:paraId="2703350A">
      <w:pPr>
        <w:spacing w:before="480" w:after="120" w:line="240" w:lineRule="auto"/>
        <w:jc w:val="center"/>
        <w:outlineLvl w:val="1"/>
      </w:pPr>
      <w:bookmarkStart w:id="39" w:name="_Toc19383"/>
      <w:r>
        <w:rPr>
          <w:rFonts w:ascii="Times New Roman" w:hAnsi="Times New Roman" w:eastAsia="黑体"/>
          <w:b/>
          <w:sz w:val="28"/>
        </w:rPr>
        <w:t>第三节　核心业务流程</w:t>
      </w:r>
      <w:bookmarkEnd w:id="39"/>
    </w:p>
    <w:p w14:paraId="43DD7D6F">
      <w:pPr>
        <w:spacing w:before="240" w:after="120" w:line="240" w:lineRule="auto"/>
        <w:ind w:firstLine="520"/>
        <w:outlineLvl w:val="2"/>
      </w:pPr>
      <w:bookmarkStart w:id="40" w:name="_Toc30442"/>
      <w:r>
        <w:rPr>
          <w:rFonts w:ascii="Times New Roman" w:hAnsi="Times New Roman" w:eastAsia="黑体"/>
          <w:b/>
          <w:sz w:val="26"/>
        </w:rPr>
        <w:t>一、线上问诊流程</w:t>
      </w:r>
      <w:bookmarkEnd w:id="40"/>
    </w:p>
    <w:p w14:paraId="1D15C63F">
      <w:pPr>
        <w:spacing w:before="0" w:after="0" w:line="400" w:lineRule="exact"/>
        <w:ind w:firstLine="480"/>
        <w:jc w:val="both"/>
      </w:pPr>
      <w:r>
        <w:rPr>
          <w:rFonts w:ascii="Times New Roman" w:hAnsi="Times New Roman" w:eastAsia="宋体"/>
          <w:b w:val="0"/>
          <w:sz w:val="24"/>
        </w:rPr>
        <w:t>线上问诊是互联网医院平台最核心的服务入口。患者通过微信小程序或手机应用进入平台后，首先选择就诊院区和科室，系统展示该科室的可接诊医生列表及其排班信息。患者可选择指定医生或由系统自动分配，随后进入问诊申请环节，填写主诉症状、上传相关图片资料（如有），选择问诊方式（图文/语音/视频），完成支付后提交申请。医生端收到问诊请求后，在接诊工作台中查看患者信息和历史就诊记录，在排班时间内接诊。问诊过程中，医生与患者通过平台进行信息交互，医生根据问诊内容给出初步诊断意见，并根据病情需要决定是否开具处方或检查申请。问诊结束后，系统自动生成问诊记录并归档。</w:t>
      </w:r>
    </w:p>
    <w:p w14:paraId="472A7849">
      <w:pPr>
        <w:jc w:val="center"/>
      </w:pPr>
      <w:r>
        <w:drawing>
          <wp:inline distT="0" distB="0" distL="114300" distR="114300">
            <wp:extent cx="5039995" cy="5050155"/>
            <wp:effectExtent l="0" t="0" r="1333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7"/>
                    <a:stretch>
                      <a:fillRect/>
                    </a:stretch>
                  </pic:blipFill>
                  <pic:spPr>
                    <a:xfrm>
                      <a:off x="0" y="0"/>
                      <a:ext cx="5040000" cy="5050500"/>
                    </a:xfrm>
                    <a:prstGeom prst="rect">
                      <a:avLst/>
                    </a:prstGeom>
                  </pic:spPr>
                </pic:pic>
              </a:graphicData>
            </a:graphic>
          </wp:inline>
        </w:drawing>
      </w:r>
    </w:p>
    <w:p w14:paraId="751875E7">
      <w:pPr>
        <w:spacing w:before="0" w:after="0" w:line="400" w:lineRule="exact"/>
        <w:ind w:firstLine="480"/>
        <w:jc w:val="both"/>
      </w:pPr>
      <w:r>
        <w:rPr>
          <w:rFonts w:ascii="Times New Roman" w:hAnsi="Times New Roman" w:eastAsia="宋体"/>
          <w:b w:val="0"/>
          <w:sz w:val="24"/>
        </w:rPr>
        <w:t>图3.3 核心业务流程</w:t>
      </w:r>
    </w:p>
    <w:p w14:paraId="15A2771F">
      <w:pPr>
        <w:spacing w:before="0" w:after="0" w:line="400" w:lineRule="exact"/>
        <w:ind w:firstLine="480"/>
        <w:jc w:val="both"/>
      </w:pPr>
      <w:r>
        <w:rPr>
          <w:rFonts w:ascii="Times New Roman" w:hAnsi="Times New Roman" w:eastAsia="宋体"/>
          <w:b w:val="0"/>
          <w:sz w:val="24"/>
        </w:rPr>
        <w:t>以流程效率为标尺来打量，当前的在线问诊流程有四个值得注意的地方。患者选择院区和医生要经过多次页面跳转——首页到院区选择页、到科室列表页、到医生列表页、再到医生详情页，平均4-5次点击才摸到问诊申请页面，路径偏长。接诊时间又受排班制度约束：非排班时段的问诊请求只能等下一个排班时段。以医院A为例，在线问诊排班只覆盖工作日上午8:00至下午5:00，晚班和周末覆盖率不足30%，非工作时间的问诊请求平均等待被拉到2小时以上。再往下走，问诊结束后如需线下检查，患者要从线上平台"跳"回线下——拿着平台生成的检查申请码到线下检查科室，在前台重新排队登记，两个环节之间没有系统化的信息传递。还有一点容易被忽略：不同问诊方式的效率差异很大，图文问诊平均接诊时长5.8分钟，语音9.2分钟，视频12.5分钟，但平台没有对适用场景做明确引导和分流，结果是简单咨询挤占了视频问诊资源，而真正需要直观展示病情的患者反而选了信息承载量有限的图文问诊。</w:t>
      </w:r>
    </w:p>
    <w:p w14:paraId="4D18B926">
      <w:pPr>
        <w:spacing w:before="240" w:after="120" w:line="240" w:lineRule="auto"/>
        <w:ind w:firstLine="520"/>
        <w:outlineLvl w:val="2"/>
      </w:pPr>
      <w:bookmarkStart w:id="41" w:name="_Toc1470"/>
      <w:r>
        <w:rPr>
          <w:rFonts w:ascii="Times New Roman" w:hAnsi="Times New Roman" w:eastAsia="黑体"/>
          <w:b/>
          <w:sz w:val="26"/>
        </w:rPr>
        <w:t>二、处方开具与审核流程</w:t>
      </w:r>
      <w:bookmarkEnd w:id="41"/>
    </w:p>
    <w:p w14:paraId="499ABA78">
      <w:pPr>
        <w:spacing w:before="0" w:after="0" w:line="400" w:lineRule="exact"/>
        <w:ind w:firstLine="480"/>
        <w:jc w:val="both"/>
      </w:pPr>
      <w:r>
        <w:rPr>
          <w:rFonts w:ascii="Times New Roman" w:hAnsi="Times New Roman" w:eastAsia="宋体"/>
          <w:b w:val="0"/>
          <w:sz w:val="24"/>
        </w:rPr>
        <w:t>当医生在问诊过程中判断患者需要药物治疗时，可在平台医生端的处方开具系统中创建电子处方。医生在药品目录中选择所需药品，填写用法用量和用药天数，系统自动进行药品合理性审核（包括药品相互作用检查、超剂量提醒、医保适应症匹配等）。处方提交后进入审核环节，由医院药剂科的药师通过平台进行在线审核。审核通过后，处方状态更新为"已审核"，患者端同步收到通知。</w:t>
      </w:r>
    </w:p>
    <w:p w14:paraId="533F874F">
      <w:pPr>
        <w:spacing w:before="0" w:after="0" w:line="400" w:lineRule="exact"/>
        <w:ind w:firstLine="480"/>
        <w:jc w:val="both"/>
      </w:pPr>
      <w:r>
        <w:rPr>
          <w:rFonts w:ascii="Times New Roman" w:hAnsi="Times New Roman" w:eastAsia="宋体"/>
          <w:b w:val="0"/>
          <w:sz w:val="24"/>
        </w:rPr>
        <w:t>依据患者的不同就医场景，A医药集团互联网医院的处方流转服务架构了"到店、到院、到线"三类场景的差异化实现路径（如表3.3所示）。"到店"场景面向持外配处方到定点零售药店购药的患者，流程涵盖在线申请续方、线上挂号问诊、医师开药、药师审方、药店结算购药等环节，是当前运营最为成熟的模式。"到院"场景面向在院内就诊的患者，医师开具处方后通过HIS系统自动拆分，将处方引导至院外定点零售药店，实现"诊间开方—处方拆分—短信推送—药店选择—支付取药"的线下线上融合路径，有效缓解了医院药房窗口的排队压力。"到线"场景面向通过互联网医院线上复诊的患者，医师在线开具电子处方后，患者可选择药品配送到家或到店自提，并支持医保在线结算，实现了"在线问诊—电子处方—药店选择—药品配送/自提（医保支付）"的全流程线上闭环。三类场景通过统一的数据平台和处方状态机进行全生命周期管理，确保处方在不同场景间流转时的状态一致性和可追溯性。</w:t>
      </w:r>
    </w:p>
    <w:p w14:paraId="4BA63AB0">
      <w:pPr>
        <w:jc w:val="center"/>
      </w:pPr>
      <w:r>
        <w:drawing>
          <wp:inline distT="0" distB="0" distL="114300" distR="114300">
            <wp:extent cx="5039995" cy="3964305"/>
            <wp:effectExtent l="0" t="0" r="1333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8"/>
                    <a:stretch>
                      <a:fillRect/>
                    </a:stretch>
                  </pic:blipFill>
                  <pic:spPr>
                    <a:xfrm>
                      <a:off x="0" y="0"/>
                      <a:ext cx="5040000" cy="3964800"/>
                    </a:xfrm>
                    <a:prstGeom prst="rect">
                      <a:avLst/>
                    </a:prstGeom>
                  </pic:spPr>
                </pic:pic>
              </a:graphicData>
            </a:graphic>
          </wp:inline>
        </w:drawing>
      </w:r>
    </w:p>
    <w:p w14:paraId="5B0E6A22">
      <w:pPr>
        <w:spacing w:before="0" w:after="0" w:line="400" w:lineRule="exact"/>
        <w:ind w:firstLine="480"/>
        <w:jc w:val="both"/>
      </w:pPr>
      <w:r>
        <w:rPr>
          <w:rFonts w:ascii="Times New Roman" w:hAnsi="Times New Roman" w:eastAsia="宋体"/>
          <w:b w:val="0"/>
          <w:sz w:val="24"/>
        </w:rPr>
        <w:t>图3.4 三类处方流转场景</w:t>
      </w:r>
    </w:p>
    <w:p w14:paraId="7BAF3863">
      <w:pPr>
        <w:spacing w:before="120" w:after="120" w:line="240" w:lineRule="auto"/>
        <w:jc w:val="center"/>
      </w:pPr>
      <w:r>
        <w:rPr>
          <w:rFonts w:ascii="Times New Roman" w:hAnsi="Times New Roman" w:eastAsia="宋体"/>
          <w:b w:val="0"/>
          <w:sz w:val="21"/>
        </w:rPr>
        <w:t>表3.3　三类处方流转场景对比</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722"/>
        <w:gridCol w:w="1722"/>
        <w:gridCol w:w="1722"/>
        <w:gridCol w:w="1722"/>
        <w:gridCol w:w="1722"/>
      </w:tblGrid>
      <w:tr w14:paraId="4FCEED3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Borders>
              <w:bottom w:val="single" w:color="000000" w:sz="12" w:space="0"/>
            </w:tcBorders>
          </w:tcPr>
          <w:p w14:paraId="07BBAC6D">
            <w:pPr>
              <w:jc w:val="center"/>
            </w:pPr>
            <w:r>
              <w:rPr>
                <w:rFonts w:ascii="Times New Roman" w:hAnsi="Times New Roman" w:eastAsia="宋体"/>
                <w:b/>
                <w:sz w:val="20"/>
              </w:rPr>
              <w:t>场景</w:t>
            </w:r>
          </w:p>
        </w:tc>
        <w:tc>
          <w:tcPr>
            <w:tcW w:w="1722" w:type="dxa"/>
            <w:tcBorders>
              <w:bottom w:val="single" w:color="000000" w:sz="12" w:space="0"/>
            </w:tcBorders>
          </w:tcPr>
          <w:p w14:paraId="3ECE2E28">
            <w:pPr>
              <w:jc w:val="center"/>
            </w:pPr>
            <w:r>
              <w:rPr>
                <w:rFonts w:ascii="Times New Roman" w:hAnsi="Times New Roman" w:eastAsia="宋体"/>
                <w:b/>
                <w:sz w:val="20"/>
              </w:rPr>
              <w:t>服务对象</w:t>
            </w:r>
          </w:p>
        </w:tc>
        <w:tc>
          <w:tcPr>
            <w:tcW w:w="1722" w:type="dxa"/>
            <w:tcBorders>
              <w:bottom w:val="single" w:color="000000" w:sz="12" w:space="0"/>
            </w:tcBorders>
          </w:tcPr>
          <w:p w14:paraId="1FFE5542">
            <w:pPr>
              <w:jc w:val="center"/>
            </w:pPr>
            <w:r>
              <w:rPr>
                <w:rFonts w:ascii="Times New Roman" w:hAnsi="Times New Roman" w:eastAsia="宋体"/>
                <w:b/>
                <w:sz w:val="20"/>
              </w:rPr>
              <w:t>核心流程</w:t>
            </w:r>
          </w:p>
        </w:tc>
        <w:tc>
          <w:tcPr>
            <w:tcW w:w="1722" w:type="dxa"/>
            <w:tcBorders>
              <w:bottom w:val="single" w:color="000000" w:sz="12" w:space="0"/>
            </w:tcBorders>
          </w:tcPr>
          <w:p w14:paraId="4D8D2282">
            <w:pPr>
              <w:jc w:val="center"/>
            </w:pPr>
            <w:r>
              <w:rPr>
                <w:rFonts w:ascii="Times New Roman" w:hAnsi="Times New Roman" w:eastAsia="宋体"/>
                <w:b/>
                <w:sz w:val="20"/>
              </w:rPr>
              <w:t>取药方式</w:t>
            </w:r>
          </w:p>
        </w:tc>
        <w:tc>
          <w:tcPr>
            <w:tcW w:w="1722" w:type="dxa"/>
            <w:tcBorders>
              <w:bottom w:val="single" w:color="000000" w:sz="12" w:space="0"/>
            </w:tcBorders>
          </w:tcPr>
          <w:p w14:paraId="7D374ACA">
            <w:pPr>
              <w:jc w:val="center"/>
            </w:pPr>
            <w:r>
              <w:rPr>
                <w:rFonts w:ascii="Times New Roman" w:hAnsi="Times New Roman" w:eastAsia="宋体"/>
                <w:b/>
                <w:sz w:val="20"/>
              </w:rPr>
              <w:t>处方来源</w:t>
            </w:r>
          </w:p>
        </w:tc>
      </w:tr>
      <w:tr w14:paraId="1EE5EB4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3E428A14">
            <w:r>
              <w:rPr>
                <w:rFonts w:ascii="Times New Roman" w:hAnsi="Times New Roman" w:eastAsia="宋体"/>
                <w:sz w:val="20"/>
              </w:rPr>
              <w:t>到店</w:t>
            </w:r>
          </w:p>
        </w:tc>
        <w:tc>
          <w:tcPr>
            <w:tcW w:w="1722" w:type="dxa"/>
          </w:tcPr>
          <w:p w14:paraId="4D6C2776">
            <w:r>
              <w:rPr>
                <w:rFonts w:ascii="Times New Roman" w:hAnsi="Times New Roman" w:eastAsia="宋体"/>
                <w:sz w:val="20"/>
              </w:rPr>
              <w:t>持处方到店患者</w:t>
            </w:r>
          </w:p>
        </w:tc>
        <w:tc>
          <w:tcPr>
            <w:tcW w:w="1722" w:type="dxa"/>
          </w:tcPr>
          <w:p w14:paraId="613F9651">
            <w:r>
              <w:rPr>
                <w:rFonts w:ascii="Times New Roman" w:hAnsi="Times New Roman" w:eastAsia="宋体"/>
                <w:sz w:val="20"/>
              </w:rPr>
              <w:t>续方申请→问诊→开方→审方→药店购药</w:t>
            </w:r>
          </w:p>
        </w:tc>
        <w:tc>
          <w:tcPr>
            <w:tcW w:w="1722" w:type="dxa"/>
          </w:tcPr>
          <w:p w14:paraId="10A546E6">
            <w:r>
              <w:rPr>
                <w:rFonts w:ascii="Times New Roman" w:hAnsi="Times New Roman" w:eastAsia="宋体"/>
                <w:sz w:val="20"/>
              </w:rPr>
              <w:t>药店自取</w:t>
            </w:r>
          </w:p>
        </w:tc>
        <w:tc>
          <w:tcPr>
            <w:tcW w:w="1722" w:type="dxa"/>
          </w:tcPr>
          <w:p w14:paraId="19A9C217">
            <w:r>
              <w:rPr>
                <w:rFonts w:ascii="Times New Roman" w:hAnsi="Times New Roman" w:eastAsia="宋体"/>
                <w:sz w:val="20"/>
              </w:rPr>
              <w:t>医疗机构开具</w:t>
            </w:r>
          </w:p>
        </w:tc>
      </w:tr>
      <w:tr w14:paraId="5B3911D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7795B7EB">
            <w:r>
              <w:rPr>
                <w:rFonts w:ascii="Times New Roman" w:hAnsi="Times New Roman" w:eastAsia="宋体"/>
                <w:sz w:val="20"/>
              </w:rPr>
              <w:t>到院</w:t>
            </w:r>
          </w:p>
        </w:tc>
        <w:tc>
          <w:tcPr>
            <w:tcW w:w="1722" w:type="dxa"/>
          </w:tcPr>
          <w:p w14:paraId="0DD88B88">
            <w:r>
              <w:rPr>
                <w:rFonts w:ascii="Times New Roman" w:hAnsi="Times New Roman" w:eastAsia="宋体"/>
                <w:sz w:val="20"/>
              </w:rPr>
              <w:t>院内就诊患者</w:t>
            </w:r>
          </w:p>
        </w:tc>
        <w:tc>
          <w:tcPr>
            <w:tcW w:w="1722" w:type="dxa"/>
          </w:tcPr>
          <w:p w14:paraId="3080638F">
            <w:r>
              <w:rPr>
                <w:rFonts w:ascii="Times New Roman" w:hAnsi="Times New Roman" w:eastAsia="宋体"/>
                <w:sz w:val="20"/>
              </w:rPr>
              <w:t>诊间开方→系统拆分→推送药店→取药</w:t>
            </w:r>
          </w:p>
        </w:tc>
        <w:tc>
          <w:tcPr>
            <w:tcW w:w="1722" w:type="dxa"/>
          </w:tcPr>
          <w:p w14:paraId="6F2FA982">
            <w:r>
              <w:rPr>
                <w:rFonts w:ascii="Times New Roman" w:hAnsi="Times New Roman" w:eastAsia="宋体"/>
                <w:sz w:val="20"/>
              </w:rPr>
              <w:t>院外药店</w:t>
            </w:r>
          </w:p>
        </w:tc>
        <w:tc>
          <w:tcPr>
            <w:tcW w:w="1722" w:type="dxa"/>
          </w:tcPr>
          <w:p w14:paraId="5F94E213">
            <w:r>
              <w:rPr>
                <w:rFonts w:ascii="Times New Roman" w:hAnsi="Times New Roman" w:eastAsia="宋体"/>
                <w:sz w:val="20"/>
              </w:rPr>
              <w:t>HIS系统拆分</w:t>
            </w:r>
          </w:p>
        </w:tc>
      </w:tr>
      <w:tr w14:paraId="6138B01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322CB051">
            <w:r>
              <w:rPr>
                <w:rFonts w:ascii="Times New Roman" w:hAnsi="Times New Roman" w:eastAsia="宋体"/>
                <w:sz w:val="20"/>
              </w:rPr>
              <w:t>到线</w:t>
            </w:r>
          </w:p>
        </w:tc>
        <w:tc>
          <w:tcPr>
            <w:tcW w:w="1722" w:type="dxa"/>
          </w:tcPr>
          <w:p w14:paraId="0A8AA85B">
            <w:r>
              <w:rPr>
                <w:rFonts w:ascii="Times New Roman" w:hAnsi="Times New Roman" w:eastAsia="宋体"/>
                <w:sz w:val="20"/>
              </w:rPr>
              <w:t>线上复诊患者</w:t>
            </w:r>
          </w:p>
        </w:tc>
        <w:tc>
          <w:tcPr>
            <w:tcW w:w="1722" w:type="dxa"/>
          </w:tcPr>
          <w:p w14:paraId="6D9ED543">
            <w:r>
              <w:rPr>
                <w:rFonts w:ascii="Times New Roman" w:hAnsi="Times New Roman" w:eastAsia="宋体"/>
                <w:sz w:val="20"/>
              </w:rPr>
              <w:t>在线问诊→电子处方→药店选择→配送/自提</w:t>
            </w:r>
          </w:p>
        </w:tc>
        <w:tc>
          <w:tcPr>
            <w:tcW w:w="1722" w:type="dxa"/>
          </w:tcPr>
          <w:p w14:paraId="1E05BEF3">
            <w:r>
              <w:rPr>
                <w:rFonts w:ascii="Times New Roman" w:hAnsi="Times New Roman" w:eastAsia="宋体"/>
                <w:sz w:val="20"/>
              </w:rPr>
              <w:t>配送到家/到店自提</w:t>
            </w:r>
          </w:p>
        </w:tc>
        <w:tc>
          <w:tcPr>
            <w:tcW w:w="1722" w:type="dxa"/>
          </w:tcPr>
          <w:p w14:paraId="72D53684">
            <w:r>
              <w:rPr>
                <w:rFonts w:ascii="Times New Roman" w:hAnsi="Times New Roman" w:eastAsia="宋体"/>
                <w:sz w:val="20"/>
              </w:rPr>
              <w:t>互联网医院开具</w:t>
            </w:r>
          </w:p>
        </w:tc>
      </w:tr>
    </w:tbl>
    <w:p w14:paraId="13D79753"/>
    <w:p w14:paraId="4B5B2B3A">
      <w:pPr>
        <w:spacing w:before="0" w:after="0" w:line="400" w:lineRule="exact"/>
        <w:ind w:firstLine="480"/>
        <w:jc w:val="both"/>
      </w:pPr>
      <w:r>
        <w:rPr>
          <w:rFonts w:ascii="Times New Roman" w:hAnsi="Times New Roman" w:eastAsia="宋体"/>
          <w:b w:val="0"/>
          <w:sz w:val="24"/>
        </w:rPr>
        <w:t>处方流转过程中涉及多个系统之间的数据交互：医生工作站→处方系统→药品目录数据库→医保控费接口→药师审核系统→药房调配系统→物流配送系统（如选择配送）。这种多系统的交互增加了流程的复杂性，任何一个环节的延迟或错误都可能导致整体流程的中断。此外，区块链处方存证技术确保了处方在各系统间流转时数据的不可篡改性和可追溯性，AI智能审方引擎（基于NLP和知识图谱）在处方开具瞬间进行实时合规性拦截，从源头上减少了不合理用药的风险。</w:t>
      </w:r>
    </w:p>
    <w:p w14:paraId="2003579B">
      <w:pPr>
        <w:spacing w:before="240" w:after="120" w:line="240" w:lineRule="auto"/>
        <w:ind w:firstLine="520"/>
        <w:outlineLvl w:val="2"/>
      </w:pPr>
      <w:bookmarkStart w:id="42" w:name="_Toc11178"/>
      <w:r>
        <w:rPr>
          <w:rFonts w:ascii="Times New Roman" w:hAnsi="Times New Roman" w:eastAsia="黑体"/>
          <w:b/>
          <w:sz w:val="26"/>
        </w:rPr>
        <w:t>三、线下检查与检验衔接流程</w:t>
      </w:r>
      <w:bookmarkEnd w:id="42"/>
    </w:p>
    <w:p w14:paraId="7899902D">
      <w:pPr>
        <w:spacing w:before="0" w:after="0" w:line="400" w:lineRule="exact"/>
        <w:ind w:firstLine="480"/>
        <w:jc w:val="both"/>
      </w:pPr>
      <w:r>
        <w:rPr>
          <w:rFonts w:ascii="Times New Roman" w:hAnsi="Times New Roman" w:eastAsia="宋体"/>
          <w:b w:val="0"/>
          <w:sz w:val="24"/>
        </w:rPr>
        <w:t>当医生在问诊过程中判断患者需要进行线下检查或检验时，可通过平台开具电子检查申请单。患者收到检查申请后，需在平台上选择检查时段并完成预约。预约成功后，患者按照预约时间前往所选院区的相应科室接受检查。检查完成后，检查结果由检验科或影像科医生出具报告，报告经审核后上传至平台，患者可在报告查询模块中查看。</w:t>
      </w:r>
    </w:p>
    <w:p w14:paraId="0CB45C41">
      <w:pPr>
        <w:spacing w:before="0" w:after="0" w:line="400" w:lineRule="exact"/>
        <w:ind w:firstLine="480"/>
        <w:jc w:val="both"/>
      </w:pPr>
      <w:r>
        <w:rPr>
          <w:rFonts w:ascii="Times New Roman" w:hAnsi="Times New Roman" w:eastAsia="宋体"/>
          <w:b w:val="0"/>
          <w:sz w:val="24"/>
        </w:rPr>
        <w:t>该流程是线上线下衔接的关键环节，也是当前断点最明显的环节之一。具体问题留到第四节展开，此处先勾出三个特点：检查预约的时段选择受限于各院区检查资源的实时可约状态，跨院区预约尚不支持；患者到达线下检查科室后，仍要现场签到、核验身份，线上预约的信息没有无缝衔接过来；检查结果上传平台的时间也不确定，有的院区能实时上传，有的院区还靠人工操作，时效性差距明显。</w:t>
      </w:r>
    </w:p>
    <w:p w14:paraId="6EA18703">
      <w:pPr>
        <w:spacing w:before="240" w:after="120" w:line="240" w:lineRule="auto"/>
        <w:ind w:firstLine="520"/>
        <w:outlineLvl w:val="2"/>
      </w:pPr>
      <w:bookmarkStart w:id="43" w:name="_Toc30621"/>
      <w:r>
        <w:rPr>
          <w:rFonts w:ascii="Times New Roman" w:hAnsi="Times New Roman" w:eastAsia="黑体"/>
          <w:b/>
          <w:sz w:val="26"/>
        </w:rPr>
        <w:t>四、药品配送与取药流程</w:t>
      </w:r>
      <w:bookmarkEnd w:id="43"/>
    </w:p>
    <w:p w14:paraId="520A8141">
      <w:pPr>
        <w:spacing w:before="0" w:after="0" w:line="400" w:lineRule="exact"/>
        <w:ind w:firstLine="480"/>
        <w:jc w:val="both"/>
      </w:pPr>
      <w:r>
        <w:rPr>
          <w:rFonts w:ascii="Times New Roman" w:hAnsi="Times New Roman" w:eastAsia="宋体"/>
          <w:b w:val="0"/>
          <w:sz w:val="24"/>
        </w:rPr>
        <w:t>选择线上药品配送的患者，在处方审核通过后，平台将处方信息推送至集团连锁药房的调配系统。药房工作人员根据处方进行药品调配和复核，复核无误后打包交予合作的第三方物流公司进行配送。患者在平台上可实时查看药品的调配状态和物流信息。</w:t>
      </w:r>
    </w:p>
    <w:p w14:paraId="063313BF">
      <w:pPr>
        <w:spacing w:before="0" w:after="0" w:line="400" w:lineRule="exact"/>
        <w:ind w:firstLine="480"/>
        <w:jc w:val="both"/>
      </w:pPr>
      <w:r>
        <w:rPr>
          <w:rFonts w:ascii="Times New Roman" w:hAnsi="Times New Roman" w:eastAsia="宋体"/>
          <w:b w:val="0"/>
          <w:sz w:val="24"/>
        </w:rPr>
        <w:t>选择到院自取的患者，可凭平台生成的取药码在指定时间前往医院药房窗口取药。选择就近药店自取的患者，系统将处方推送至患者指定的集团连锁药店，患者凭取药码到店取药。</w:t>
      </w:r>
    </w:p>
    <w:p w14:paraId="3E99A893">
      <w:pPr>
        <w:spacing w:before="0" w:after="0" w:line="400" w:lineRule="exact"/>
        <w:ind w:firstLine="480"/>
        <w:jc w:val="both"/>
      </w:pPr>
      <w:r>
        <w:rPr>
          <w:rFonts w:ascii="Times New Roman" w:hAnsi="Times New Roman" w:eastAsia="宋体"/>
          <w:b w:val="0"/>
          <w:sz w:val="24"/>
        </w:rPr>
        <w:t>把四条核心流程走完一遍，效率上的短板已经露头：问诊申请页面要多次点击才能到达，非排班时段问诊等待被拉长，线上问诊和线下检查取药之间缺一条系统化的信息衔接通道。这些直观观察不会只停留在印象层面——第四节里，它们将与事件日志的定量诊断结果相互印证，归入系统性的问题识别。</w:t>
      </w:r>
    </w:p>
    <w:p w14:paraId="6600794F">
      <w:pPr>
        <w:spacing w:before="480" w:after="120" w:line="240" w:lineRule="auto"/>
        <w:jc w:val="center"/>
        <w:outlineLvl w:val="1"/>
      </w:pPr>
      <w:bookmarkStart w:id="44" w:name="_Toc31697"/>
      <w:r>
        <w:rPr>
          <w:rFonts w:ascii="Times New Roman" w:hAnsi="Times New Roman" w:eastAsia="黑体"/>
          <w:b/>
          <w:sz w:val="28"/>
        </w:rPr>
        <w:t>第四节　多院区运营与问题识别</w:t>
      </w:r>
      <w:bookmarkEnd w:id="44"/>
    </w:p>
    <w:p w14:paraId="095BC804">
      <w:pPr>
        <w:spacing w:before="240" w:after="120" w:line="240" w:lineRule="auto"/>
        <w:ind w:firstLine="520"/>
        <w:outlineLvl w:val="2"/>
      </w:pPr>
      <w:bookmarkStart w:id="45" w:name="_Toc4990"/>
      <w:r>
        <w:rPr>
          <w:rFonts w:ascii="Times New Roman" w:hAnsi="Times New Roman" w:eastAsia="黑体"/>
          <w:b/>
          <w:sz w:val="26"/>
        </w:rPr>
        <w:t>一、各院区运营差异分析</w:t>
      </w:r>
      <w:bookmarkEnd w:id="45"/>
    </w:p>
    <w:p w14:paraId="5DE8356E">
      <w:pPr>
        <w:spacing w:before="240" w:after="120" w:line="240" w:lineRule="auto"/>
        <w:ind w:firstLine="480"/>
        <w:outlineLvl w:val="3"/>
      </w:pPr>
      <w:r>
        <w:rPr>
          <w:rFonts w:ascii="Times New Roman" w:hAnsi="Times New Roman" w:eastAsia="黑体"/>
          <w:b/>
          <w:sz w:val="24"/>
        </w:rPr>
        <w:t>（一）服务量差异</w:t>
      </w:r>
    </w:p>
    <w:p w14:paraId="35EDC8D9">
      <w:pPr>
        <w:spacing w:before="0" w:after="0" w:line="400" w:lineRule="exact"/>
        <w:ind w:firstLine="480"/>
        <w:jc w:val="both"/>
      </w:pPr>
      <w:r>
        <w:rPr>
          <w:rFonts w:ascii="Times New Roman" w:hAnsi="Times New Roman" w:eastAsia="宋体"/>
          <w:b w:val="0"/>
          <w:sz w:val="24"/>
        </w:rPr>
        <w:t>A医药集团旗下各医院在互联网医院平台上的服务量存在显著差异。如表3.4所示，医院A（</w:t>
      </w:r>
      <w:r>
        <w:rPr>
          <w:rFonts w:hint="eastAsia" w:ascii="Times New Roman" w:hAnsi="Times New Roman"/>
          <w:b w:val="0"/>
          <w:sz w:val="24"/>
          <w:lang w:eastAsia="zh-CN"/>
        </w:rPr>
        <w:t>标杆医院</w:t>
      </w:r>
      <w:r>
        <w:rPr>
          <w:rFonts w:ascii="Times New Roman" w:hAnsi="Times New Roman" w:eastAsia="宋体"/>
          <w:b w:val="0"/>
          <w:sz w:val="24"/>
        </w:rPr>
        <w:t>）的在线服务量占平台总服务量的约45%，医院B和医院C各占约20%，而医院D和医院E的在线服务量合计不足15%。</w:t>
      </w:r>
    </w:p>
    <w:p w14:paraId="5F49DBDB">
      <w:pPr>
        <w:spacing w:before="120" w:after="120" w:line="240" w:lineRule="auto"/>
        <w:jc w:val="center"/>
      </w:pPr>
      <w:r>
        <w:rPr>
          <w:rFonts w:ascii="Times New Roman" w:hAnsi="Times New Roman" w:eastAsia="宋体"/>
          <w:b w:val="0"/>
          <w:sz w:val="21"/>
        </w:rPr>
        <w:t>表3.4　各院区平台服务量分布（2025年度）</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43CF2C9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3777CC7C">
            <w:pPr>
              <w:jc w:val="center"/>
            </w:pPr>
            <w:r>
              <w:rPr>
                <w:rFonts w:ascii="Times New Roman" w:hAnsi="Times New Roman" w:eastAsia="宋体"/>
                <w:b/>
                <w:sz w:val="20"/>
              </w:rPr>
              <w:t>指标</w:t>
            </w:r>
          </w:p>
        </w:tc>
        <w:tc>
          <w:tcPr>
            <w:tcW w:w="1435" w:type="dxa"/>
            <w:tcBorders>
              <w:bottom w:val="single" w:color="000000" w:sz="12" w:space="0"/>
            </w:tcBorders>
          </w:tcPr>
          <w:p w14:paraId="6F2C3E4E">
            <w:pPr>
              <w:jc w:val="center"/>
            </w:pPr>
            <w:r>
              <w:rPr>
                <w:rFonts w:ascii="Times New Roman" w:hAnsi="Times New Roman" w:eastAsia="宋体"/>
                <w:b/>
                <w:sz w:val="20"/>
              </w:rPr>
              <w:t>医院A</w:t>
            </w:r>
          </w:p>
        </w:tc>
        <w:tc>
          <w:tcPr>
            <w:tcW w:w="1435" w:type="dxa"/>
            <w:tcBorders>
              <w:bottom w:val="single" w:color="000000" w:sz="12" w:space="0"/>
            </w:tcBorders>
          </w:tcPr>
          <w:p w14:paraId="640D4AFD">
            <w:pPr>
              <w:jc w:val="center"/>
            </w:pPr>
            <w:r>
              <w:rPr>
                <w:rFonts w:ascii="Times New Roman" w:hAnsi="Times New Roman" w:eastAsia="宋体"/>
                <w:b/>
                <w:sz w:val="20"/>
              </w:rPr>
              <w:t>医院B</w:t>
            </w:r>
          </w:p>
        </w:tc>
        <w:tc>
          <w:tcPr>
            <w:tcW w:w="1435" w:type="dxa"/>
            <w:tcBorders>
              <w:bottom w:val="single" w:color="000000" w:sz="12" w:space="0"/>
            </w:tcBorders>
          </w:tcPr>
          <w:p w14:paraId="26F6EE16">
            <w:pPr>
              <w:jc w:val="center"/>
            </w:pPr>
            <w:r>
              <w:rPr>
                <w:rFonts w:ascii="Times New Roman" w:hAnsi="Times New Roman" w:eastAsia="宋体"/>
                <w:b/>
                <w:sz w:val="20"/>
              </w:rPr>
              <w:t>医院C</w:t>
            </w:r>
          </w:p>
        </w:tc>
        <w:tc>
          <w:tcPr>
            <w:tcW w:w="1435" w:type="dxa"/>
            <w:tcBorders>
              <w:bottom w:val="single" w:color="000000" w:sz="12" w:space="0"/>
            </w:tcBorders>
          </w:tcPr>
          <w:p w14:paraId="56B6DA78">
            <w:pPr>
              <w:jc w:val="center"/>
            </w:pPr>
            <w:r>
              <w:rPr>
                <w:rFonts w:ascii="Times New Roman" w:hAnsi="Times New Roman" w:eastAsia="宋体"/>
                <w:b/>
                <w:sz w:val="20"/>
              </w:rPr>
              <w:t>医院D</w:t>
            </w:r>
          </w:p>
        </w:tc>
        <w:tc>
          <w:tcPr>
            <w:tcW w:w="1435" w:type="dxa"/>
            <w:tcBorders>
              <w:bottom w:val="single" w:color="000000" w:sz="12" w:space="0"/>
            </w:tcBorders>
          </w:tcPr>
          <w:p w14:paraId="6B0DEC2D">
            <w:pPr>
              <w:jc w:val="center"/>
            </w:pPr>
            <w:r>
              <w:rPr>
                <w:rFonts w:ascii="Times New Roman" w:hAnsi="Times New Roman" w:eastAsia="宋体"/>
                <w:b/>
                <w:sz w:val="20"/>
              </w:rPr>
              <w:t>医院E</w:t>
            </w:r>
          </w:p>
        </w:tc>
      </w:tr>
      <w:tr w14:paraId="64FD0E3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F84A64D">
            <w:r>
              <w:rPr>
                <w:rFonts w:ascii="Times New Roman" w:hAnsi="Times New Roman" w:eastAsia="宋体"/>
                <w:sz w:val="20"/>
              </w:rPr>
              <w:t>在线问诊量占比</w:t>
            </w:r>
          </w:p>
        </w:tc>
        <w:tc>
          <w:tcPr>
            <w:tcW w:w="1435" w:type="dxa"/>
          </w:tcPr>
          <w:p w14:paraId="59FD5873">
            <w:r>
              <w:rPr>
                <w:rFonts w:ascii="Times New Roman" w:hAnsi="Times New Roman" w:eastAsia="宋体"/>
                <w:sz w:val="20"/>
              </w:rPr>
              <w:t>45.2%</w:t>
            </w:r>
          </w:p>
        </w:tc>
        <w:tc>
          <w:tcPr>
            <w:tcW w:w="1435" w:type="dxa"/>
          </w:tcPr>
          <w:p w14:paraId="23021FF7">
            <w:r>
              <w:rPr>
                <w:rFonts w:ascii="Times New Roman" w:hAnsi="Times New Roman" w:eastAsia="宋体"/>
                <w:sz w:val="20"/>
              </w:rPr>
              <w:t>21.3%</w:t>
            </w:r>
          </w:p>
        </w:tc>
        <w:tc>
          <w:tcPr>
            <w:tcW w:w="1435" w:type="dxa"/>
          </w:tcPr>
          <w:p w14:paraId="41A32A9A">
            <w:r>
              <w:rPr>
                <w:rFonts w:ascii="Times New Roman" w:hAnsi="Times New Roman" w:eastAsia="宋体"/>
                <w:sz w:val="20"/>
              </w:rPr>
              <w:t>18.5%</w:t>
            </w:r>
          </w:p>
        </w:tc>
        <w:tc>
          <w:tcPr>
            <w:tcW w:w="1435" w:type="dxa"/>
          </w:tcPr>
          <w:p w14:paraId="1D303B09">
            <w:r>
              <w:rPr>
                <w:rFonts w:ascii="Times New Roman" w:hAnsi="Times New Roman" w:eastAsia="宋体"/>
                <w:sz w:val="20"/>
              </w:rPr>
              <w:t>9.2%</w:t>
            </w:r>
          </w:p>
        </w:tc>
        <w:tc>
          <w:tcPr>
            <w:tcW w:w="1435" w:type="dxa"/>
          </w:tcPr>
          <w:p w14:paraId="0E40AE1F">
            <w:r>
              <w:rPr>
                <w:rFonts w:ascii="Times New Roman" w:hAnsi="Times New Roman" w:eastAsia="宋体"/>
                <w:sz w:val="20"/>
              </w:rPr>
              <w:t>5.8%</w:t>
            </w:r>
          </w:p>
        </w:tc>
      </w:tr>
      <w:tr w14:paraId="4DA2A8A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3D6A5B5">
            <w:r>
              <w:rPr>
                <w:rFonts w:ascii="Times New Roman" w:hAnsi="Times New Roman" w:eastAsia="宋体"/>
                <w:sz w:val="20"/>
              </w:rPr>
              <w:t>处方流转量占比</w:t>
            </w:r>
          </w:p>
        </w:tc>
        <w:tc>
          <w:tcPr>
            <w:tcW w:w="1435" w:type="dxa"/>
          </w:tcPr>
          <w:p w14:paraId="208945F5">
            <w:r>
              <w:rPr>
                <w:rFonts w:ascii="Times New Roman" w:hAnsi="Times New Roman" w:eastAsia="宋体"/>
                <w:sz w:val="20"/>
              </w:rPr>
              <w:t>48.1%</w:t>
            </w:r>
          </w:p>
        </w:tc>
        <w:tc>
          <w:tcPr>
            <w:tcW w:w="1435" w:type="dxa"/>
          </w:tcPr>
          <w:p w14:paraId="2A6222DA">
            <w:r>
              <w:rPr>
                <w:rFonts w:ascii="Times New Roman" w:hAnsi="Times New Roman" w:eastAsia="宋体"/>
                <w:sz w:val="20"/>
              </w:rPr>
              <w:t>19.8%</w:t>
            </w:r>
          </w:p>
        </w:tc>
        <w:tc>
          <w:tcPr>
            <w:tcW w:w="1435" w:type="dxa"/>
          </w:tcPr>
          <w:p w14:paraId="7F8C3F74">
            <w:r>
              <w:rPr>
                <w:rFonts w:ascii="Times New Roman" w:hAnsi="Times New Roman" w:eastAsia="宋体"/>
                <w:sz w:val="20"/>
              </w:rPr>
              <w:t>16.2%</w:t>
            </w:r>
          </w:p>
        </w:tc>
        <w:tc>
          <w:tcPr>
            <w:tcW w:w="1435" w:type="dxa"/>
          </w:tcPr>
          <w:p w14:paraId="10BDB580">
            <w:r>
              <w:rPr>
                <w:rFonts w:ascii="Times New Roman" w:hAnsi="Times New Roman" w:eastAsia="宋体"/>
                <w:sz w:val="20"/>
              </w:rPr>
              <w:t>8.5%</w:t>
            </w:r>
          </w:p>
        </w:tc>
        <w:tc>
          <w:tcPr>
            <w:tcW w:w="1435" w:type="dxa"/>
          </w:tcPr>
          <w:p w14:paraId="118476D9">
            <w:r>
              <w:rPr>
                <w:rFonts w:ascii="Times New Roman" w:hAnsi="Times New Roman" w:eastAsia="宋体"/>
                <w:sz w:val="20"/>
              </w:rPr>
              <w:t>7.4%</w:t>
            </w:r>
          </w:p>
        </w:tc>
      </w:tr>
      <w:tr w14:paraId="5D7BBFD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209D385">
            <w:r>
              <w:rPr>
                <w:rFonts w:ascii="Times New Roman" w:hAnsi="Times New Roman" w:eastAsia="宋体"/>
                <w:sz w:val="20"/>
              </w:rPr>
              <w:t>检查预约量占比</w:t>
            </w:r>
          </w:p>
        </w:tc>
        <w:tc>
          <w:tcPr>
            <w:tcW w:w="1435" w:type="dxa"/>
          </w:tcPr>
          <w:p w14:paraId="72B1D92E">
            <w:r>
              <w:rPr>
                <w:rFonts w:ascii="Times New Roman" w:hAnsi="Times New Roman" w:eastAsia="宋体"/>
                <w:sz w:val="20"/>
              </w:rPr>
              <w:t>42.5%</w:t>
            </w:r>
          </w:p>
        </w:tc>
        <w:tc>
          <w:tcPr>
            <w:tcW w:w="1435" w:type="dxa"/>
          </w:tcPr>
          <w:p w14:paraId="0E386AC4">
            <w:r>
              <w:rPr>
                <w:rFonts w:ascii="Times New Roman" w:hAnsi="Times New Roman" w:eastAsia="宋体"/>
                <w:sz w:val="20"/>
              </w:rPr>
              <w:t>23.1%</w:t>
            </w:r>
          </w:p>
        </w:tc>
        <w:tc>
          <w:tcPr>
            <w:tcW w:w="1435" w:type="dxa"/>
          </w:tcPr>
          <w:p w14:paraId="41FB3D6B">
            <w:r>
              <w:rPr>
                <w:rFonts w:ascii="Times New Roman" w:hAnsi="Times New Roman" w:eastAsia="宋体"/>
                <w:sz w:val="20"/>
              </w:rPr>
              <w:t>20.3%</w:t>
            </w:r>
          </w:p>
        </w:tc>
        <w:tc>
          <w:tcPr>
            <w:tcW w:w="1435" w:type="dxa"/>
          </w:tcPr>
          <w:p w14:paraId="676C875C">
            <w:r>
              <w:rPr>
                <w:rFonts w:ascii="Times New Roman" w:hAnsi="Times New Roman" w:eastAsia="宋体"/>
                <w:sz w:val="20"/>
              </w:rPr>
              <w:t>8.9%</w:t>
            </w:r>
          </w:p>
        </w:tc>
        <w:tc>
          <w:tcPr>
            <w:tcW w:w="1435" w:type="dxa"/>
          </w:tcPr>
          <w:p w14:paraId="2B587F37">
            <w:r>
              <w:rPr>
                <w:rFonts w:ascii="Times New Roman" w:hAnsi="Times New Roman" w:eastAsia="宋体"/>
                <w:sz w:val="20"/>
              </w:rPr>
              <w:t>5.2%</w:t>
            </w:r>
          </w:p>
        </w:tc>
      </w:tr>
      <w:tr w14:paraId="7738A99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58ADF524">
            <w:r>
              <w:rPr>
                <w:rFonts w:ascii="Times New Roman" w:hAnsi="Times New Roman" w:eastAsia="宋体"/>
                <w:sz w:val="20"/>
              </w:rPr>
              <w:t>注册用户数占比</w:t>
            </w:r>
          </w:p>
        </w:tc>
        <w:tc>
          <w:tcPr>
            <w:tcW w:w="1435" w:type="dxa"/>
          </w:tcPr>
          <w:p w14:paraId="34D9967F">
            <w:r>
              <w:rPr>
                <w:rFonts w:ascii="Times New Roman" w:hAnsi="Times New Roman" w:eastAsia="宋体"/>
                <w:sz w:val="20"/>
              </w:rPr>
              <w:t>40.3%</w:t>
            </w:r>
          </w:p>
        </w:tc>
        <w:tc>
          <w:tcPr>
            <w:tcW w:w="1435" w:type="dxa"/>
          </w:tcPr>
          <w:p w14:paraId="444951BD">
            <w:r>
              <w:rPr>
                <w:rFonts w:ascii="Times New Roman" w:hAnsi="Times New Roman" w:eastAsia="宋体"/>
                <w:sz w:val="20"/>
              </w:rPr>
              <w:t>24.6%</w:t>
            </w:r>
          </w:p>
        </w:tc>
        <w:tc>
          <w:tcPr>
            <w:tcW w:w="1435" w:type="dxa"/>
          </w:tcPr>
          <w:p w14:paraId="45863A09">
            <w:r>
              <w:rPr>
                <w:rFonts w:ascii="Times New Roman" w:hAnsi="Times New Roman" w:eastAsia="宋体"/>
                <w:sz w:val="20"/>
              </w:rPr>
              <w:t>19.8%</w:t>
            </w:r>
          </w:p>
        </w:tc>
        <w:tc>
          <w:tcPr>
            <w:tcW w:w="1435" w:type="dxa"/>
          </w:tcPr>
          <w:p w14:paraId="68BE7CE5">
            <w:r>
              <w:rPr>
                <w:rFonts w:ascii="Times New Roman" w:hAnsi="Times New Roman" w:eastAsia="宋体"/>
                <w:sz w:val="20"/>
              </w:rPr>
              <w:t>9.1%</w:t>
            </w:r>
          </w:p>
        </w:tc>
        <w:tc>
          <w:tcPr>
            <w:tcW w:w="1435" w:type="dxa"/>
          </w:tcPr>
          <w:p w14:paraId="367CE7C4">
            <w:r>
              <w:rPr>
                <w:rFonts w:ascii="Times New Roman" w:hAnsi="Times New Roman" w:eastAsia="宋体"/>
                <w:sz w:val="20"/>
              </w:rPr>
              <w:t>6.2%</w:t>
            </w:r>
          </w:p>
        </w:tc>
      </w:tr>
      <w:tr w14:paraId="0575C95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1A32206">
            <w:r>
              <w:rPr>
                <w:rFonts w:ascii="Times New Roman" w:hAnsi="Times New Roman" w:eastAsia="宋体"/>
                <w:sz w:val="20"/>
              </w:rPr>
              <w:t>月活跃用户数</w:t>
            </w:r>
          </w:p>
        </w:tc>
        <w:tc>
          <w:tcPr>
            <w:tcW w:w="1435" w:type="dxa"/>
          </w:tcPr>
          <w:p w14:paraId="4A13518F">
            <w:r>
              <w:rPr>
                <w:rFonts w:ascii="Times New Roman" w:hAnsi="Times New Roman" w:eastAsia="宋体"/>
                <w:sz w:val="20"/>
              </w:rPr>
              <w:t>~13,500</w:t>
            </w:r>
          </w:p>
        </w:tc>
        <w:tc>
          <w:tcPr>
            <w:tcW w:w="1435" w:type="dxa"/>
          </w:tcPr>
          <w:p w14:paraId="4DF64328">
            <w:r>
              <w:rPr>
                <w:rFonts w:ascii="Times New Roman" w:hAnsi="Times New Roman" w:eastAsia="宋体"/>
                <w:sz w:val="20"/>
              </w:rPr>
              <w:t>~6,400</w:t>
            </w:r>
          </w:p>
        </w:tc>
        <w:tc>
          <w:tcPr>
            <w:tcW w:w="1435" w:type="dxa"/>
          </w:tcPr>
          <w:p w14:paraId="5249B9FA">
            <w:r>
              <w:rPr>
                <w:rFonts w:ascii="Times New Roman" w:hAnsi="Times New Roman" w:eastAsia="宋体"/>
                <w:sz w:val="20"/>
              </w:rPr>
              <w:t>~5,500</w:t>
            </w:r>
          </w:p>
        </w:tc>
        <w:tc>
          <w:tcPr>
            <w:tcW w:w="1435" w:type="dxa"/>
          </w:tcPr>
          <w:p w14:paraId="5D17FA8B">
            <w:r>
              <w:rPr>
                <w:rFonts w:ascii="Times New Roman" w:hAnsi="Times New Roman" w:eastAsia="宋体"/>
                <w:sz w:val="20"/>
              </w:rPr>
              <w:t>~2,700</w:t>
            </w:r>
          </w:p>
        </w:tc>
        <w:tc>
          <w:tcPr>
            <w:tcW w:w="1435" w:type="dxa"/>
          </w:tcPr>
          <w:p w14:paraId="7BBE1113">
            <w:r>
              <w:rPr>
                <w:rFonts w:ascii="Times New Roman" w:hAnsi="Times New Roman" w:eastAsia="宋体"/>
                <w:sz w:val="20"/>
              </w:rPr>
              <w:t>~1,700</w:t>
            </w:r>
          </w:p>
        </w:tc>
      </w:tr>
    </w:tbl>
    <w:p w14:paraId="7B3FF7F7"/>
    <w:p w14:paraId="63DECF14">
      <w:pPr>
        <w:spacing w:before="0" w:after="0" w:line="400" w:lineRule="exact"/>
        <w:ind w:firstLine="480"/>
        <w:jc w:val="both"/>
      </w:pPr>
      <w:r>
        <w:rPr>
          <w:rFonts w:ascii="Times New Roman" w:hAnsi="Times New Roman" w:eastAsia="宋体"/>
          <w:b w:val="0"/>
          <w:sz w:val="24"/>
        </w:rPr>
        <w:t>这种差异部分反映了各医院自身的体量和知名度差异——医院A的床位数和年门急诊量在集团内遥遥领先，其线上服务量自然较高。但也在一定程度上说明了平台在推广和覆盖方面的不均衡。医院D和医院E虽然体量较小，但分别在心血管和呼吸内科、口腔及老年护理方面各有特色，理论上具备吸引线上患者的潜力。当前其在线服务量占比不足15%，部分原因在于两家医院于2024年才接入平台，窗口期较短，线上服务量仍在爬坡。此外，医院D和医院E的信息科人员配置较少（各仅2-3名），在平台对接和日常运维方面的投入能力有限。</w:t>
      </w:r>
    </w:p>
    <w:p w14:paraId="36EE4647">
      <w:pPr>
        <w:spacing w:before="240" w:after="120" w:line="240" w:lineRule="auto"/>
        <w:ind w:firstLine="480"/>
        <w:outlineLvl w:val="3"/>
      </w:pPr>
      <w:r>
        <w:rPr>
          <w:rFonts w:ascii="Times New Roman" w:hAnsi="Times New Roman" w:eastAsia="黑体"/>
          <w:b/>
          <w:sz w:val="24"/>
        </w:rPr>
        <w:t>（二）科室设置差异</w:t>
      </w:r>
    </w:p>
    <w:p w14:paraId="7D63D9CD">
      <w:pPr>
        <w:spacing w:before="0" w:after="0" w:line="400" w:lineRule="exact"/>
        <w:ind w:firstLine="480"/>
        <w:jc w:val="both"/>
      </w:pPr>
      <w:r>
        <w:rPr>
          <w:rFonts w:ascii="Times New Roman" w:hAnsi="Times New Roman" w:eastAsia="宋体"/>
          <w:b w:val="0"/>
          <w:sz w:val="24"/>
        </w:rPr>
        <w:t>各医院在平台上线科室的范围和数量上存在差异。医院A上线了几乎所有临床科室的在线问诊服务（共32个科室），医院B上线了21个科室，医院C上线了18个科室。医院D和医院E由于体量较小，分别上线了11个和9个科室。此外，同一科室在不同院区之间的服务标准和质量也存在差异。例如，内科在线问诊的平均接诊时长、处方开具率、检查申请率等指标在各院区之间不完全一致，反映出各院区在执行集团统一服务标准方面的力度不一。</w:t>
      </w:r>
    </w:p>
    <w:p w14:paraId="5AB074A7">
      <w:pPr>
        <w:spacing w:before="240" w:after="120" w:line="240" w:lineRule="auto"/>
        <w:ind w:firstLine="480"/>
        <w:outlineLvl w:val="3"/>
      </w:pPr>
      <w:r>
        <w:rPr>
          <w:rFonts w:ascii="Times New Roman" w:hAnsi="Times New Roman" w:eastAsia="黑体"/>
          <w:b/>
          <w:sz w:val="24"/>
        </w:rPr>
        <w:t>（三）信息系统异构情况</w:t>
      </w:r>
    </w:p>
    <w:p w14:paraId="6E8B7DF9">
      <w:pPr>
        <w:spacing w:before="0" w:after="0" w:line="400" w:lineRule="exact"/>
        <w:ind w:firstLine="480"/>
        <w:jc w:val="both"/>
      </w:pPr>
      <w:r>
        <w:rPr>
          <w:rFonts w:ascii="Times New Roman" w:hAnsi="Times New Roman" w:eastAsia="宋体"/>
          <w:b w:val="0"/>
          <w:sz w:val="24"/>
        </w:rPr>
        <w:t>各医院在被A医药集团整合之前，已分别建设了各自的院内信息系统。医院A使用的是A厂商的HIS系统（版本V5.2，2019年升级），为当前集团内最新版本；医院B使用的是B厂商的系统（版本V3.8，2017年部署）；医院D和医院E使用的是B厂商的较早版本系统（分别为V3.5和V3.4）；医院C使用的是C厂商的系统（版本V4.5），与其他厂商的数据模型和接口标准差异显著。表3.5汇总了各院区信息系统的异构现状。</w:t>
      </w:r>
    </w:p>
    <w:p w14:paraId="731D44B1">
      <w:pPr>
        <w:jc w:val="center"/>
      </w:pPr>
      <w:r>
        <w:drawing>
          <wp:inline distT="0" distB="0" distL="114300" distR="114300">
            <wp:extent cx="5039995" cy="3565525"/>
            <wp:effectExtent l="0" t="0" r="13335"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9"/>
                    <a:stretch>
                      <a:fillRect/>
                    </a:stretch>
                  </pic:blipFill>
                  <pic:spPr>
                    <a:xfrm>
                      <a:off x="0" y="0"/>
                      <a:ext cx="5040000" cy="3565800"/>
                    </a:xfrm>
                    <a:prstGeom prst="rect">
                      <a:avLst/>
                    </a:prstGeom>
                  </pic:spPr>
                </pic:pic>
              </a:graphicData>
            </a:graphic>
          </wp:inline>
        </w:drawing>
      </w:r>
    </w:p>
    <w:p w14:paraId="2C021F77">
      <w:pPr>
        <w:spacing w:before="0" w:after="0" w:line="400" w:lineRule="exact"/>
        <w:ind w:firstLine="480"/>
        <w:jc w:val="both"/>
      </w:pPr>
      <w:r>
        <w:rPr>
          <w:rFonts w:ascii="Times New Roman" w:hAnsi="Times New Roman" w:eastAsia="宋体"/>
          <w:b w:val="0"/>
          <w:sz w:val="24"/>
        </w:rPr>
        <w:t>图3.5 各院区信息系统异构现状</w:t>
      </w:r>
    </w:p>
    <w:p w14:paraId="085D15C0">
      <w:pPr>
        <w:spacing w:before="120" w:after="120" w:line="240" w:lineRule="auto"/>
        <w:jc w:val="center"/>
      </w:pPr>
      <w:r>
        <w:rPr>
          <w:rFonts w:ascii="Times New Roman" w:hAnsi="Times New Roman" w:eastAsia="宋体"/>
          <w:b w:val="0"/>
          <w:sz w:val="21"/>
        </w:rPr>
        <w:t>表3.5　各院区信息系统异构现状</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398FC54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29D4BB36">
            <w:pPr>
              <w:jc w:val="center"/>
            </w:pPr>
            <w:r>
              <w:rPr>
                <w:rFonts w:ascii="Times New Roman" w:hAnsi="Times New Roman" w:eastAsia="宋体"/>
                <w:b/>
                <w:sz w:val="20"/>
              </w:rPr>
              <w:t>系统类型</w:t>
            </w:r>
          </w:p>
        </w:tc>
        <w:tc>
          <w:tcPr>
            <w:tcW w:w="1435" w:type="dxa"/>
            <w:tcBorders>
              <w:bottom w:val="single" w:color="000000" w:sz="12" w:space="0"/>
            </w:tcBorders>
          </w:tcPr>
          <w:p w14:paraId="5D22A49A">
            <w:pPr>
              <w:jc w:val="center"/>
            </w:pPr>
            <w:r>
              <w:rPr>
                <w:rFonts w:ascii="Times New Roman" w:hAnsi="Times New Roman" w:eastAsia="宋体"/>
                <w:b/>
                <w:sz w:val="20"/>
              </w:rPr>
              <w:t>医院A</w:t>
            </w:r>
          </w:p>
        </w:tc>
        <w:tc>
          <w:tcPr>
            <w:tcW w:w="1435" w:type="dxa"/>
            <w:tcBorders>
              <w:bottom w:val="single" w:color="000000" w:sz="12" w:space="0"/>
            </w:tcBorders>
          </w:tcPr>
          <w:p w14:paraId="4152FE0F">
            <w:pPr>
              <w:jc w:val="center"/>
            </w:pPr>
            <w:r>
              <w:rPr>
                <w:rFonts w:ascii="Times New Roman" w:hAnsi="Times New Roman" w:eastAsia="宋体"/>
                <w:b/>
                <w:sz w:val="20"/>
              </w:rPr>
              <w:t>医院B</w:t>
            </w:r>
          </w:p>
        </w:tc>
        <w:tc>
          <w:tcPr>
            <w:tcW w:w="1435" w:type="dxa"/>
            <w:tcBorders>
              <w:bottom w:val="single" w:color="000000" w:sz="12" w:space="0"/>
            </w:tcBorders>
          </w:tcPr>
          <w:p w14:paraId="230CDC5D">
            <w:pPr>
              <w:jc w:val="center"/>
            </w:pPr>
            <w:r>
              <w:rPr>
                <w:rFonts w:ascii="Times New Roman" w:hAnsi="Times New Roman" w:eastAsia="宋体"/>
                <w:b/>
                <w:sz w:val="20"/>
              </w:rPr>
              <w:t>医院C</w:t>
            </w:r>
          </w:p>
        </w:tc>
        <w:tc>
          <w:tcPr>
            <w:tcW w:w="1435" w:type="dxa"/>
            <w:tcBorders>
              <w:bottom w:val="single" w:color="000000" w:sz="12" w:space="0"/>
            </w:tcBorders>
          </w:tcPr>
          <w:p w14:paraId="7E0B99A2">
            <w:pPr>
              <w:jc w:val="center"/>
            </w:pPr>
            <w:r>
              <w:rPr>
                <w:rFonts w:ascii="Times New Roman" w:hAnsi="Times New Roman" w:eastAsia="宋体"/>
                <w:b/>
                <w:sz w:val="20"/>
              </w:rPr>
              <w:t>医院D</w:t>
            </w:r>
          </w:p>
        </w:tc>
        <w:tc>
          <w:tcPr>
            <w:tcW w:w="1435" w:type="dxa"/>
            <w:tcBorders>
              <w:bottom w:val="single" w:color="000000" w:sz="12" w:space="0"/>
            </w:tcBorders>
          </w:tcPr>
          <w:p w14:paraId="14B7F3D8">
            <w:pPr>
              <w:jc w:val="center"/>
            </w:pPr>
            <w:r>
              <w:rPr>
                <w:rFonts w:ascii="Times New Roman" w:hAnsi="Times New Roman" w:eastAsia="宋体"/>
                <w:b/>
                <w:sz w:val="20"/>
              </w:rPr>
              <w:t>医院E</w:t>
            </w:r>
          </w:p>
        </w:tc>
      </w:tr>
      <w:tr w14:paraId="086FDA5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25657EFC">
            <w:r>
              <w:rPr>
                <w:rFonts w:ascii="Times New Roman" w:hAnsi="Times New Roman" w:eastAsia="宋体"/>
                <w:sz w:val="20"/>
              </w:rPr>
              <w:t>HIS</w:t>
            </w:r>
          </w:p>
        </w:tc>
        <w:tc>
          <w:tcPr>
            <w:tcW w:w="1435" w:type="dxa"/>
          </w:tcPr>
          <w:p w14:paraId="08105A7A">
            <w:r>
              <w:rPr>
                <w:rFonts w:ascii="Times New Roman" w:hAnsi="Times New Roman" w:eastAsia="宋体"/>
                <w:sz w:val="20"/>
              </w:rPr>
              <w:t>V5.2(A厂商)</w:t>
            </w:r>
          </w:p>
        </w:tc>
        <w:tc>
          <w:tcPr>
            <w:tcW w:w="1435" w:type="dxa"/>
          </w:tcPr>
          <w:p w14:paraId="7C074D5D">
            <w:r>
              <w:rPr>
                <w:rFonts w:ascii="Times New Roman" w:hAnsi="Times New Roman" w:eastAsia="宋体"/>
                <w:sz w:val="20"/>
              </w:rPr>
              <w:t>V3.8(B厂商)</w:t>
            </w:r>
          </w:p>
        </w:tc>
        <w:tc>
          <w:tcPr>
            <w:tcW w:w="1435" w:type="dxa"/>
          </w:tcPr>
          <w:p w14:paraId="5482A845">
            <w:r>
              <w:rPr>
                <w:rFonts w:ascii="Times New Roman" w:hAnsi="Times New Roman" w:eastAsia="宋体"/>
                <w:sz w:val="20"/>
              </w:rPr>
              <w:t>V4.5(C厂商)</w:t>
            </w:r>
          </w:p>
        </w:tc>
        <w:tc>
          <w:tcPr>
            <w:tcW w:w="1435" w:type="dxa"/>
          </w:tcPr>
          <w:p w14:paraId="4A4BFE3D">
            <w:r>
              <w:rPr>
                <w:rFonts w:ascii="Times New Roman" w:hAnsi="Times New Roman" w:eastAsia="宋体"/>
                <w:sz w:val="20"/>
              </w:rPr>
              <w:t>V3.5(B厂商)</w:t>
            </w:r>
          </w:p>
        </w:tc>
        <w:tc>
          <w:tcPr>
            <w:tcW w:w="1435" w:type="dxa"/>
          </w:tcPr>
          <w:p w14:paraId="5B3A6748">
            <w:r>
              <w:rPr>
                <w:rFonts w:ascii="Times New Roman" w:hAnsi="Times New Roman" w:eastAsia="宋体"/>
                <w:sz w:val="20"/>
              </w:rPr>
              <w:t>V3.4(B厂商)</w:t>
            </w:r>
          </w:p>
        </w:tc>
      </w:tr>
      <w:tr w14:paraId="095F3DE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2B1C74C9">
            <w:r>
              <w:rPr>
                <w:rFonts w:ascii="Times New Roman" w:hAnsi="Times New Roman" w:eastAsia="宋体"/>
                <w:sz w:val="20"/>
              </w:rPr>
              <w:t>LIS</w:t>
            </w:r>
          </w:p>
        </w:tc>
        <w:tc>
          <w:tcPr>
            <w:tcW w:w="1435" w:type="dxa"/>
          </w:tcPr>
          <w:p w14:paraId="2D87C1C0">
            <w:r>
              <w:rPr>
                <w:rFonts w:ascii="Times New Roman" w:hAnsi="Times New Roman" w:eastAsia="宋体"/>
                <w:sz w:val="20"/>
              </w:rPr>
              <w:t>V3.0</w:t>
            </w:r>
          </w:p>
        </w:tc>
        <w:tc>
          <w:tcPr>
            <w:tcW w:w="1435" w:type="dxa"/>
          </w:tcPr>
          <w:p w14:paraId="51B57289">
            <w:r>
              <w:rPr>
                <w:rFonts w:ascii="Times New Roman" w:hAnsi="Times New Roman" w:eastAsia="宋体"/>
                <w:sz w:val="20"/>
              </w:rPr>
              <w:t>V2.5</w:t>
            </w:r>
          </w:p>
        </w:tc>
        <w:tc>
          <w:tcPr>
            <w:tcW w:w="1435" w:type="dxa"/>
          </w:tcPr>
          <w:p w14:paraId="3E3B236F">
            <w:r>
              <w:rPr>
                <w:rFonts w:ascii="Times New Roman" w:hAnsi="Times New Roman" w:eastAsia="宋体"/>
                <w:sz w:val="20"/>
              </w:rPr>
              <w:t>V2.0</w:t>
            </w:r>
          </w:p>
        </w:tc>
        <w:tc>
          <w:tcPr>
            <w:tcW w:w="1435" w:type="dxa"/>
          </w:tcPr>
          <w:p w14:paraId="2C72CE2A">
            <w:r>
              <w:rPr>
                <w:rFonts w:ascii="Times New Roman" w:hAnsi="Times New Roman" w:eastAsia="宋体"/>
                <w:sz w:val="20"/>
              </w:rPr>
              <w:t>V2.5</w:t>
            </w:r>
          </w:p>
        </w:tc>
        <w:tc>
          <w:tcPr>
            <w:tcW w:w="1435" w:type="dxa"/>
          </w:tcPr>
          <w:p w14:paraId="7D79F867">
            <w:r>
              <w:rPr>
                <w:rFonts w:ascii="Times New Roman" w:hAnsi="Times New Roman" w:eastAsia="宋体"/>
                <w:sz w:val="20"/>
              </w:rPr>
              <w:t>V2.5</w:t>
            </w:r>
          </w:p>
        </w:tc>
      </w:tr>
      <w:tr w14:paraId="56CE8A3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3853E355">
            <w:r>
              <w:rPr>
                <w:rFonts w:ascii="Times New Roman" w:hAnsi="Times New Roman" w:eastAsia="宋体"/>
                <w:sz w:val="20"/>
              </w:rPr>
              <w:t>PACS</w:t>
            </w:r>
          </w:p>
        </w:tc>
        <w:tc>
          <w:tcPr>
            <w:tcW w:w="1435" w:type="dxa"/>
          </w:tcPr>
          <w:p w14:paraId="109C8350">
            <w:r>
              <w:rPr>
                <w:rFonts w:ascii="Times New Roman" w:hAnsi="Times New Roman" w:eastAsia="宋体"/>
                <w:sz w:val="20"/>
              </w:rPr>
              <w:t>V4.1</w:t>
            </w:r>
          </w:p>
        </w:tc>
        <w:tc>
          <w:tcPr>
            <w:tcW w:w="1435" w:type="dxa"/>
          </w:tcPr>
          <w:p w14:paraId="39315CD1">
            <w:r>
              <w:rPr>
                <w:rFonts w:ascii="Times New Roman" w:hAnsi="Times New Roman" w:eastAsia="宋体"/>
                <w:sz w:val="20"/>
              </w:rPr>
              <w:t>V3.6</w:t>
            </w:r>
          </w:p>
        </w:tc>
        <w:tc>
          <w:tcPr>
            <w:tcW w:w="1435" w:type="dxa"/>
          </w:tcPr>
          <w:p w14:paraId="788DA1C3">
            <w:r>
              <w:rPr>
                <w:rFonts w:ascii="Times New Roman" w:hAnsi="Times New Roman" w:eastAsia="宋体"/>
                <w:sz w:val="20"/>
              </w:rPr>
              <w:t>V2.8</w:t>
            </w:r>
          </w:p>
        </w:tc>
        <w:tc>
          <w:tcPr>
            <w:tcW w:w="1435" w:type="dxa"/>
          </w:tcPr>
          <w:p w14:paraId="322062E2">
            <w:r>
              <w:rPr>
                <w:rFonts w:ascii="Times New Roman" w:hAnsi="Times New Roman" w:eastAsia="宋体"/>
                <w:sz w:val="20"/>
              </w:rPr>
              <w:t>—</w:t>
            </w:r>
          </w:p>
        </w:tc>
        <w:tc>
          <w:tcPr>
            <w:tcW w:w="1435" w:type="dxa"/>
          </w:tcPr>
          <w:p w14:paraId="4B990C02">
            <w:r>
              <w:rPr>
                <w:rFonts w:ascii="Times New Roman" w:hAnsi="Times New Roman" w:eastAsia="宋体"/>
                <w:sz w:val="20"/>
              </w:rPr>
              <w:t>—</w:t>
            </w:r>
          </w:p>
        </w:tc>
      </w:tr>
      <w:tr w14:paraId="3FA9BE0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0D6E75B9">
            <w:r>
              <w:rPr>
                <w:rFonts w:ascii="Times New Roman" w:hAnsi="Times New Roman" w:eastAsia="宋体"/>
                <w:sz w:val="20"/>
              </w:rPr>
              <w:t>EMR</w:t>
            </w:r>
          </w:p>
        </w:tc>
        <w:tc>
          <w:tcPr>
            <w:tcW w:w="1435" w:type="dxa"/>
          </w:tcPr>
          <w:p w14:paraId="2748C958">
            <w:r>
              <w:rPr>
                <w:rFonts w:ascii="Times New Roman" w:hAnsi="Times New Roman" w:eastAsia="宋体"/>
                <w:sz w:val="20"/>
              </w:rPr>
              <w:t>V5.0</w:t>
            </w:r>
          </w:p>
        </w:tc>
        <w:tc>
          <w:tcPr>
            <w:tcW w:w="1435" w:type="dxa"/>
          </w:tcPr>
          <w:p w14:paraId="085151F3">
            <w:r>
              <w:rPr>
                <w:rFonts w:ascii="Times New Roman" w:hAnsi="Times New Roman" w:eastAsia="宋体"/>
                <w:sz w:val="20"/>
              </w:rPr>
              <w:t>V4.2</w:t>
            </w:r>
          </w:p>
        </w:tc>
        <w:tc>
          <w:tcPr>
            <w:tcW w:w="1435" w:type="dxa"/>
          </w:tcPr>
          <w:p w14:paraId="4D39D9E0">
            <w:r>
              <w:rPr>
                <w:rFonts w:ascii="Times New Roman" w:hAnsi="Times New Roman" w:eastAsia="宋体"/>
                <w:sz w:val="20"/>
              </w:rPr>
              <w:t>V3.5</w:t>
            </w:r>
          </w:p>
        </w:tc>
        <w:tc>
          <w:tcPr>
            <w:tcW w:w="1435" w:type="dxa"/>
          </w:tcPr>
          <w:p w14:paraId="4997361D">
            <w:r>
              <w:rPr>
                <w:rFonts w:ascii="Times New Roman" w:hAnsi="Times New Roman" w:eastAsia="宋体"/>
                <w:sz w:val="20"/>
              </w:rPr>
              <w:t>V4.2</w:t>
            </w:r>
          </w:p>
        </w:tc>
        <w:tc>
          <w:tcPr>
            <w:tcW w:w="1435" w:type="dxa"/>
          </w:tcPr>
          <w:p w14:paraId="5D924A53">
            <w:r>
              <w:rPr>
                <w:rFonts w:ascii="Times New Roman" w:hAnsi="Times New Roman" w:eastAsia="宋体"/>
                <w:sz w:val="20"/>
              </w:rPr>
              <w:t>V4.2</w:t>
            </w:r>
          </w:p>
        </w:tc>
      </w:tr>
      <w:tr w14:paraId="643BEC4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D46D816">
            <w:r>
              <w:rPr>
                <w:rFonts w:ascii="Times New Roman" w:hAnsi="Times New Roman" w:eastAsia="宋体"/>
                <w:sz w:val="20"/>
              </w:rPr>
              <w:t>与管理平台接口</w:t>
            </w:r>
          </w:p>
        </w:tc>
        <w:tc>
          <w:tcPr>
            <w:tcW w:w="1435" w:type="dxa"/>
          </w:tcPr>
          <w:p w14:paraId="42ED0F37">
            <w:r>
              <w:rPr>
                <w:rFonts w:ascii="Times New Roman" w:hAnsi="Times New Roman" w:eastAsia="宋体"/>
                <w:sz w:val="20"/>
              </w:rPr>
              <w:t>标准API</w:t>
            </w:r>
          </w:p>
        </w:tc>
        <w:tc>
          <w:tcPr>
            <w:tcW w:w="1435" w:type="dxa"/>
          </w:tcPr>
          <w:p w14:paraId="0AD785C3">
            <w:r>
              <w:rPr>
                <w:rFonts w:ascii="Times New Roman" w:hAnsi="Times New Roman" w:eastAsia="宋体"/>
                <w:sz w:val="20"/>
              </w:rPr>
              <w:t>标准API</w:t>
            </w:r>
          </w:p>
        </w:tc>
        <w:tc>
          <w:tcPr>
            <w:tcW w:w="1435" w:type="dxa"/>
          </w:tcPr>
          <w:p w14:paraId="09F2AA03">
            <w:r>
              <w:rPr>
                <w:rFonts w:ascii="Times New Roman" w:hAnsi="Times New Roman" w:eastAsia="宋体"/>
                <w:sz w:val="20"/>
              </w:rPr>
              <w:t>前置机适配</w:t>
            </w:r>
          </w:p>
        </w:tc>
        <w:tc>
          <w:tcPr>
            <w:tcW w:w="1435" w:type="dxa"/>
          </w:tcPr>
          <w:p w14:paraId="5B888306">
            <w:r>
              <w:rPr>
                <w:rFonts w:ascii="Times New Roman" w:hAnsi="Times New Roman" w:eastAsia="宋体"/>
                <w:sz w:val="20"/>
              </w:rPr>
              <w:t>标准API</w:t>
            </w:r>
          </w:p>
        </w:tc>
        <w:tc>
          <w:tcPr>
            <w:tcW w:w="1435" w:type="dxa"/>
          </w:tcPr>
          <w:p w14:paraId="3D0DA113">
            <w:r>
              <w:rPr>
                <w:rFonts w:ascii="Times New Roman" w:hAnsi="Times New Roman" w:eastAsia="宋体"/>
                <w:sz w:val="20"/>
              </w:rPr>
              <w:t>标准API</w:t>
            </w:r>
          </w:p>
        </w:tc>
      </w:tr>
    </w:tbl>
    <w:p w14:paraId="6CAF1BD7"/>
    <w:p w14:paraId="577F1165">
      <w:pPr>
        <w:spacing w:before="0" w:after="0" w:line="400" w:lineRule="exact"/>
        <w:ind w:firstLine="480"/>
        <w:jc w:val="both"/>
      </w:pPr>
      <w:r>
        <w:rPr>
          <w:rFonts w:ascii="Times New Roman" w:hAnsi="Times New Roman" w:eastAsia="宋体"/>
          <w:b w:val="0"/>
          <w:sz w:val="24"/>
        </w:rPr>
        <w:t>这种信息系统异构的现状是后续多院区协同面临的最大技术障碍。虽然管理平台作为统一的后台管理系统在一定程度上实现了运营数据的集中，但各院区的院内系统并未实现真正的数据互通。主要问题体现在以下方面：（1）患者标识符不统一——同一患者在医院A以身份证号关联，在医院B以院内就诊卡号关联，在医院C以社保号关联，管理平台需要维护复杂的标识符映射表来实现跨院区患者身份关联；（2）药品编码体系不统一——同一药品（如阿托伐他汀钙片20mg）在医院A的编码为"ATV20-A"，在医院B的编码为"B-ATV-020"，在医院C的编码为"CATV020"，导致处方流转时需要进行编码转换；（3）检查项目编码不统一——不同院区对同一检查项目的命名和编码存在差异，例如"胸部CT平扫"在医院A称为"CT-胸部-平扫"，在医院B称为"胸部CT（平扫）"，语义相同但字符串不匹配，增加了跨院区检查结果互认的技术难度；（4）数据同步时效性不一——医院A和医院B已实现关键业务数据的准实时同步（延迟&lt;5分钟），但医院C因前置机适配方案的限制，数据同步仍为T+1模式（次日同步），导致平台上的医院C数据与实际情况存在一天的滞后。</w:t>
      </w:r>
    </w:p>
    <w:p w14:paraId="551F452A">
      <w:pPr>
        <w:spacing w:before="240" w:after="120" w:line="240" w:lineRule="auto"/>
        <w:ind w:firstLine="520"/>
        <w:outlineLvl w:val="2"/>
      </w:pPr>
      <w:bookmarkStart w:id="46" w:name="_Toc2632"/>
      <w:r>
        <w:rPr>
          <w:rFonts w:ascii="Times New Roman" w:hAnsi="Times New Roman" w:eastAsia="黑体"/>
          <w:b/>
          <w:sz w:val="26"/>
        </w:rPr>
        <w:t>二、线上线下的流程断点</w:t>
      </w:r>
      <w:bookmarkEnd w:id="46"/>
    </w:p>
    <w:p w14:paraId="764959CA">
      <w:pPr>
        <w:spacing w:before="240" w:after="120" w:line="240" w:lineRule="auto"/>
        <w:ind w:firstLine="480"/>
        <w:outlineLvl w:val="3"/>
      </w:pPr>
      <w:r>
        <w:rPr>
          <w:rFonts w:ascii="Times New Roman" w:hAnsi="Times New Roman" w:eastAsia="黑体"/>
          <w:b/>
          <w:sz w:val="24"/>
        </w:rPr>
        <w:t>（一）电子处方到线下检查的衔接断点</w:t>
      </w:r>
    </w:p>
    <w:p w14:paraId="6F203F4E">
      <w:pPr>
        <w:spacing w:before="0" w:after="0" w:line="400" w:lineRule="exact"/>
        <w:ind w:firstLine="480"/>
        <w:jc w:val="both"/>
      </w:pPr>
      <w:r>
        <w:rPr>
          <w:rFonts w:ascii="Times New Roman" w:hAnsi="Times New Roman" w:eastAsia="宋体"/>
          <w:b w:val="0"/>
          <w:sz w:val="24"/>
        </w:rPr>
        <w:t>这是当前最为突出的流程断点之一。当医生在在线问诊中判断患者需要做进一步检查（如血液检查、影像学检查等）时，可以为患者在线开具检查申请单。但患者拿着这份电子申请单到达线下检查科室时，面临以下问题：第一，部分检查科室的前台登记系统与互联网医院平台之间没有数据接口，前台工作人员需要手动在本地系统中重新录入患者的检查申请信息，造成患者等待时间延长和录入错误风险增加；第二，线上预约的检查时段与线下科室的实际排班有时存在冲突，导致患者到达后需要重新排队；第三，不同院区的检查设备型号和操作标准不完全统一，使得跨院区检查结果的互认存在困难。</w:t>
      </w:r>
    </w:p>
    <w:p w14:paraId="068B3588">
      <w:pPr>
        <w:spacing w:before="240" w:after="120" w:line="240" w:lineRule="auto"/>
        <w:ind w:firstLine="480"/>
        <w:outlineLvl w:val="3"/>
      </w:pPr>
      <w:r>
        <w:rPr>
          <w:rFonts w:ascii="Times New Roman" w:hAnsi="Times New Roman" w:eastAsia="黑体"/>
          <w:b/>
          <w:sz w:val="24"/>
        </w:rPr>
        <w:t>（二）检查结果到复诊的信息回路断点</w:t>
      </w:r>
    </w:p>
    <w:p w14:paraId="309F713B">
      <w:pPr>
        <w:spacing w:before="0" w:after="0" w:line="400" w:lineRule="exact"/>
        <w:ind w:firstLine="480"/>
        <w:jc w:val="both"/>
      </w:pPr>
      <w:r>
        <w:rPr>
          <w:rFonts w:ascii="Times New Roman" w:hAnsi="Times New Roman" w:eastAsia="宋体"/>
          <w:b w:val="0"/>
          <w:sz w:val="24"/>
        </w:rPr>
        <w:t>患者在线下完成检查后，检查结果需要传回线上平台，供医生在后续复诊中参考。当前的问题是，部分院区的检查系统（特别是PACS影像系统）与平台之间的数据传输不完全自动化。对于影像检查，患者的影像原片存储在院区本地的PACS服务器上，平台只能获取文字报告而不能直接查看影像原片，复诊医生如需查看影像详情，需要切换到院区本地的PACS系统进行操作。这种信息回路的断裂导致复诊效率受到影响，也降低了患者通过平台进行全程管理的体验。</w:t>
      </w:r>
    </w:p>
    <w:p w14:paraId="720B6E54">
      <w:pPr>
        <w:spacing w:before="240" w:after="120" w:line="240" w:lineRule="auto"/>
        <w:ind w:firstLine="480"/>
        <w:outlineLvl w:val="3"/>
      </w:pPr>
      <w:r>
        <w:rPr>
          <w:rFonts w:ascii="Times New Roman" w:hAnsi="Times New Roman" w:eastAsia="黑体"/>
          <w:b/>
          <w:sz w:val="24"/>
        </w:rPr>
        <w:t>（三）药品配送的"最后一公里"问题</w:t>
      </w:r>
    </w:p>
    <w:p w14:paraId="09808E8A">
      <w:pPr>
        <w:spacing w:before="0" w:after="0" w:line="400" w:lineRule="exact"/>
        <w:ind w:firstLine="480"/>
        <w:jc w:val="both"/>
      </w:pPr>
      <w:r>
        <w:rPr>
          <w:rFonts w:ascii="Times New Roman" w:hAnsi="Times New Roman" w:eastAsia="宋体"/>
          <w:b w:val="0"/>
          <w:sz w:val="24"/>
        </w:rPr>
        <w:t>线上药品配送虽然从技术层面已经实现，但在实际操作中仍面临最后一公里的诸多挑战。主要包括：部分患者填写的收货地址不够精确，导致物流配送延迟或失败；药品在配送过程中的温控（特别是需要冷藏的生物制剂）缺乏实时监控和记录；配送签收环节缺乏有效的患者身份核验机制。</w:t>
      </w:r>
    </w:p>
    <w:p w14:paraId="405B5894">
      <w:pPr>
        <w:spacing w:before="240" w:after="120" w:line="240" w:lineRule="auto"/>
        <w:ind w:firstLine="520"/>
        <w:outlineLvl w:val="2"/>
      </w:pPr>
      <w:bookmarkStart w:id="47" w:name="_Toc11372"/>
      <w:r>
        <w:rPr>
          <w:rFonts w:ascii="Times New Roman" w:hAnsi="Times New Roman" w:eastAsia="黑体"/>
          <w:b/>
          <w:sz w:val="26"/>
        </w:rPr>
        <w:t>三、多院区协同障碍</w:t>
      </w:r>
      <w:bookmarkEnd w:id="47"/>
    </w:p>
    <w:p w14:paraId="4E44E6B6">
      <w:pPr>
        <w:spacing w:before="240" w:after="120" w:line="240" w:lineRule="auto"/>
        <w:ind w:firstLine="480"/>
        <w:outlineLvl w:val="3"/>
      </w:pPr>
      <w:r>
        <w:rPr>
          <w:rFonts w:ascii="Times New Roman" w:hAnsi="Times New Roman" w:eastAsia="黑体"/>
          <w:b/>
          <w:sz w:val="24"/>
        </w:rPr>
        <w:t>（一）信息孤岛问题</w:t>
      </w:r>
    </w:p>
    <w:p w14:paraId="0EFB5A0F">
      <w:pPr>
        <w:spacing w:before="0" w:after="0" w:line="400" w:lineRule="exact"/>
        <w:ind w:firstLine="480"/>
        <w:jc w:val="both"/>
      </w:pPr>
      <w:r>
        <w:rPr>
          <w:rFonts w:ascii="Times New Roman" w:hAnsi="Times New Roman" w:eastAsia="宋体"/>
          <w:b w:val="0"/>
          <w:sz w:val="24"/>
        </w:rPr>
        <w:t>如前所述，各院区信息系统的异构性是导致信息孤岛的根本原因。尽管集团层面已部署管理平台作为统一的数据汇聚点，但各院区的院内系统之间的数据互通尚未真正实现。具体表现为：患者在不同院区的就诊记录分散在各院区各自的数据库中，没有形成统一的患者健康档案；医生在平台上问诊时，只能查看患者在本院区的历史记录，无法获取患者在集团其他院区的就诊信息；集团管理层在进行多院区运营分析时，需要分别从各院区的系统中导出数据再人工整合，效率低下且容易出错。</w:t>
      </w:r>
    </w:p>
    <w:p w14:paraId="7B51CF2A">
      <w:pPr>
        <w:spacing w:before="240" w:after="120" w:line="240" w:lineRule="auto"/>
        <w:ind w:firstLine="480"/>
        <w:outlineLvl w:val="3"/>
      </w:pPr>
      <w:r>
        <w:rPr>
          <w:rFonts w:ascii="Times New Roman" w:hAnsi="Times New Roman" w:eastAsia="黑体"/>
          <w:b/>
          <w:sz w:val="24"/>
        </w:rPr>
        <w:t>（二）服务标准不统一</w:t>
      </w:r>
    </w:p>
    <w:p w14:paraId="20FCD355">
      <w:pPr>
        <w:spacing w:before="0" w:after="0" w:line="400" w:lineRule="exact"/>
        <w:ind w:firstLine="480"/>
        <w:jc w:val="both"/>
      </w:pPr>
      <w:r>
        <w:rPr>
          <w:rFonts w:ascii="Times New Roman" w:hAnsi="Times New Roman" w:eastAsia="宋体"/>
          <w:b w:val="0"/>
          <w:sz w:val="24"/>
        </w:rPr>
        <w:t>各院区在在线问诊的服务标准上尚未实现完全统一。例如：不同院区对在线问诊的接诊时限规定不一致，医院A规定医生须在15分钟内接诊，医院B的规定为30分钟；不同院区对处方开具的药品目录范围存在差异，部分药品在医院A可以开具而在医院B不可开具，原因是各院区药剂科对某些药品的线上处方持不同的审慎态度；不同院区对检查结果的互认程度不一致，一些院区的医生倾向于要求患者在本院重新检查，造成不必要的重复。</w:t>
      </w:r>
    </w:p>
    <w:p w14:paraId="582B4511">
      <w:pPr>
        <w:spacing w:before="240" w:after="120" w:line="240" w:lineRule="auto"/>
        <w:ind w:firstLine="480"/>
        <w:outlineLvl w:val="3"/>
      </w:pPr>
      <w:r>
        <w:rPr>
          <w:rFonts w:ascii="Times New Roman" w:hAnsi="Times New Roman" w:eastAsia="黑体"/>
          <w:b/>
          <w:sz w:val="24"/>
        </w:rPr>
        <w:t>（三）医疗资源配置不均</w:t>
      </w:r>
    </w:p>
    <w:p w14:paraId="7148EBBE">
      <w:pPr>
        <w:spacing w:before="0" w:after="0" w:line="400" w:lineRule="exact"/>
        <w:ind w:firstLine="480"/>
        <w:jc w:val="both"/>
      </w:pPr>
      <w:r>
        <w:rPr>
          <w:rFonts w:ascii="Times New Roman" w:hAnsi="Times New Roman" w:eastAsia="宋体"/>
          <w:b w:val="0"/>
          <w:sz w:val="24"/>
        </w:rPr>
        <w:t>集团层面尚未建立跨院区的医疗资源统一调度机制。当某院区的某科室出现患者高峰时，无法自动将部分患者分流至其他院区的同科室。当前的患者分流主要依赖患者的自主选择，而患者通常缺乏足够的信息来做出最优的就诊院区决策。此外，专家资源的跨院区共享机制尚未建立，医院A的某领域专家无法通过平台直接为医院B或医院C的患者提供在线问诊服务，优质的专家资源被"锁定"在各自的院区内。</w:t>
      </w:r>
    </w:p>
    <w:p w14:paraId="0858D2B3">
      <w:pPr>
        <w:spacing w:before="240" w:after="120" w:line="240" w:lineRule="auto"/>
        <w:ind w:firstLine="520"/>
        <w:outlineLvl w:val="2"/>
      </w:pPr>
      <w:bookmarkStart w:id="48" w:name="_Toc12970"/>
      <w:r>
        <w:rPr>
          <w:rFonts w:ascii="Times New Roman" w:hAnsi="Times New Roman" w:eastAsia="黑体"/>
          <w:b/>
          <w:sz w:val="26"/>
        </w:rPr>
        <w:t>四、数据利用不足</w:t>
      </w:r>
      <w:bookmarkEnd w:id="48"/>
    </w:p>
    <w:p w14:paraId="12C3156F">
      <w:pPr>
        <w:spacing w:before="0" w:after="0" w:line="400" w:lineRule="exact"/>
        <w:ind w:firstLine="480"/>
        <w:jc w:val="both"/>
      </w:pPr>
      <w:r>
        <w:rPr>
          <w:rFonts w:ascii="Times New Roman" w:hAnsi="Times New Roman" w:eastAsia="宋体"/>
          <w:b w:val="0"/>
          <w:sz w:val="24"/>
        </w:rPr>
        <w:t>四年运营下来，A医药集团互联网医院平台攒下的家底不薄：一千余万条事件日志、数百万条问诊记录，还有大量的处方和检查数据。只是这些数据被利用的程度，还停留在比较初级的层面。</w:t>
      </w:r>
    </w:p>
    <w:p w14:paraId="3DF8E8A8">
      <w:pPr>
        <w:spacing w:before="0" w:after="0" w:line="400" w:lineRule="exact"/>
        <w:ind w:firstLine="480"/>
        <w:jc w:val="both"/>
      </w:pPr>
      <w:r>
        <w:rPr>
          <w:rFonts w:ascii="Times New Roman" w:hAnsi="Times New Roman" w:eastAsia="宋体"/>
          <w:b w:val="0"/>
          <w:sz w:val="24"/>
        </w:rPr>
        <w:t>报表的维度单一是第一处短板。平台现在的数据报表以描述性统计为主——"本月在线问诊量""各科室处方量排名""药品配送成功率"之类的指标。宏观状况看得见，深层的流程问题却藏在水面之下：单看"本月在线问诊量"，看不出问诊流程里的等待时间分布，看不出院区之间问诊效率的高低，更看不出哪个环节在"堵塞"。</w:t>
      </w:r>
    </w:p>
    <w:p w14:paraId="4F14549F">
      <w:pPr>
        <w:spacing w:before="0" w:after="0" w:line="400" w:lineRule="exact"/>
        <w:ind w:firstLine="480"/>
        <w:jc w:val="both"/>
      </w:pPr>
      <w:r>
        <w:rPr>
          <w:rFonts w:ascii="Times New Roman" w:hAnsi="Times New Roman" w:eastAsia="宋体"/>
          <w:b w:val="0"/>
          <w:sz w:val="24"/>
        </w:rPr>
        <w:t>第二处短板是缺一个流程视角的分析框架。平台的数据分析围着"结果指标"转——服务量、收入、满意度这些终端数字；至于"过程指标"，比如各环节的耗时、流转路径的变异、瓶颈在哪一环，一直没有系统的分析和呈现。流程诊断至今主要靠管理者的经验判断和主观访谈，而不是客观数据：一位运营管理者可能凭直觉感到"处方审核环节比较慢"，但这种"慢"慢到什么程度、分布在哪些时段、根子在哪里，他都说不准。</w:t>
      </w:r>
    </w:p>
    <w:p w14:paraId="09F152B4">
      <w:pPr>
        <w:spacing w:before="0" w:after="0" w:line="400" w:lineRule="exact"/>
        <w:ind w:firstLine="480"/>
        <w:jc w:val="both"/>
      </w:pPr>
      <w:r>
        <w:rPr>
          <w:rFonts w:ascii="Times New Roman" w:hAnsi="Times New Roman" w:eastAsia="宋体"/>
          <w:b w:val="0"/>
          <w:sz w:val="24"/>
        </w:rPr>
        <w:t>第三处短板在数据分析和流程改进之间断着一条线。就算某个数据异常被发现了——比如某院区药品配送成功率突然下降——也没有一套系统的方法把这个信号转成具体的改进行动。数据分析停在"发现问题"这一步，走不到"诊断根因""设计方案"那两步。</w:t>
      </w:r>
    </w:p>
    <w:p w14:paraId="0B2E0047">
      <w:pPr>
        <w:spacing w:before="0" w:after="0" w:line="400" w:lineRule="exact"/>
        <w:ind w:firstLine="480"/>
        <w:jc w:val="both"/>
      </w:pPr>
      <w:r>
        <w:rPr>
          <w:rFonts w:ascii="Times New Roman" w:hAnsi="Times New Roman" w:eastAsia="宋体"/>
          <w:b w:val="0"/>
          <w:sz w:val="24"/>
        </w:rPr>
        <w:t>数据利用不足和前面讲的流程断点、多院区协同障碍是缠在一起的：断点的精确定位要靠流程数据的深入分析，协同的优化要靠跨院区数据的整合对比，而这两件事恰恰是现有数据利用模式撑不住的。这正是本研究引入过程分析法和层次分析法的原因——从数据中系统地提取流程洞察，给流程优化提供客观、定量的决策依据。</w:t>
      </w:r>
    </w:p>
    <w:p w14:paraId="417ECEA9">
      <w:pPr>
        <w:spacing w:before="480" w:after="360" w:line="240" w:lineRule="auto"/>
        <w:jc w:val="center"/>
        <w:outlineLvl w:val="0"/>
      </w:pPr>
      <w:bookmarkStart w:id="49" w:name="_Toc6499"/>
      <w:r>
        <w:rPr>
          <w:rFonts w:ascii="Times New Roman" w:hAnsi="Times New Roman" w:eastAsia="黑体"/>
          <w:b/>
          <w:sz w:val="32"/>
        </w:rPr>
        <w:t>第四章　服务流程优化研究</w:t>
      </w:r>
      <w:bookmarkEnd w:id="49"/>
    </w:p>
    <w:p w14:paraId="78344E6C">
      <w:pPr>
        <w:spacing w:before="480" w:after="120" w:line="240" w:lineRule="auto"/>
        <w:jc w:val="center"/>
        <w:outlineLvl w:val="1"/>
      </w:pPr>
      <w:bookmarkStart w:id="50" w:name="_Toc31370"/>
      <w:r>
        <w:rPr>
          <w:rFonts w:ascii="Times New Roman" w:hAnsi="Times New Roman" w:eastAsia="黑体"/>
          <w:b/>
          <w:sz w:val="28"/>
        </w:rPr>
        <w:t>第一节　研究设计</w:t>
      </w:r>
      <w:bookmarkEnd w:id="50"/>
    </w:p>
    <w:p w14:paraId="6E175875">
      <w:pPr>
        <w:jc w:val="center"/>
      </w:pPr>
      <w:r>
        <w:drawing>
          <wp:inline distT="0" distB="0" distL="114300" distR="114300">
            <wp:extent cx="5039995" cy="4331970"/>
            <wp:effectExtent l="0" t="0" r="13335"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20"/>
                    <a:stretch>
                      <a:fillRect/>
                    </a:stretch>
                  </pic:blipFill>
                  <pic:spPr>
                    <a:xfrm>
                      <a:off x="0" y="0"/>
                      <a:ext cx="5040000" cy="4332300"/>
                    </a:xfrm>
                    <a:prstGeom prst="rect">
                      <a:avLst/>
                    </a:prstGeom>
                  </pic:spPr>
                </pic:pic>
              </a:graphicData>
            </a:graphic>
          </wp:inline>
        </w:drawing>
      </w:r>
    </w:p>
    <w:p w14:paraId="1B88ADBB">
      <w:pPr>
        <w:spacing w:before="0" w:after="0" w:line="400" w:lineRule="exact"/>
        <w:ind w:firstLine="480"/>
        <w:jc w:val="both"/>
      </w:pPr>
      <w:r>
        <w:rPr>
          <w:rFonts w:ascii="Times New Roman" w:hAnsi="Times New Roman" w:eastAsia="宋体"/>
          <w:b w:val="0"/>
          <w:sz w:val="24"/>
        </w:rPr>
        <w:t>图4.1 研究设计框架</w:t>
      </w:r>
    </w:p>
    <w:p w14:paraId="600CF18F">
      <w:pPr>
        <w:spacing w:before="0" w:after="0" w:line="400" w:lineRule="exact"/>
        <w:ind w:firstLine="480"/>
        <w:jc w:val="both"/>
      </w:pPr>
      <w:r>
        <w:rPr>
          <w:rFonts w:ascii="Times New Roman" w:hAnsi="Times New Roman" w:eastAsia="宋体"/>
          <w:b w:val="0"/>
          <w:sz w:val="24"/>
        </w:rPr>
        <w:t>本研究采用的四种方法——过程分析法（Process Mining）、层次分析法（AHP）、服务蓝图法和准实验法——在真正跑起来之前，各需要一套可执行的设计方案。本节逐一交代：过程分析法的事件日志提取与流程模型生成方案、AHP的评价指标与判断矩阵设计、服务蓝图法的建模框架、准实验法的对比实验方案。</w:t>
      </w:r>
    </w:p>
    <w:p w14:paraId="5F1F1BBD">
      <w:pPr>
        <w:spacing w:before="240" w:after="120" w:line="240" w:lineRule="auto"/>
        <w:ind w:firstLine="520"/>
        <w:outlineLvl w:val="2"/>
      </w:pPr>
      <w:bookmarkStart w:id="51" w:name="_Toc21006"/>
      <w:r>
        <w:rPr>
          <w:rFonts w:ascii="Times New Roman" w:hAnsi="Times New Roman" w:eastAsia="黑体"/>
          <w:b/>
          <w:sz w:val="26"/>
        </w:rPr>
        <w:t>一、过程分析法（Process Mining）应用设计</w:t>
      </w:r>
      <w:bookmarkEnd w:id="51"/>
    </w:p>
    <w:p w14:paraId="0F21CE8D">
      <w:pPr>
        <w:spacing w:before="240" w:after="120" w:line="240" w:lineRule="auto"/>
        <w:ind w:firstLine="480"/>
        <w:outlineLvl w:val="3"/>
      </w:pPr>
      <w:r>
        <w:rPr>
          <w:rFonts w:ascii="Times New Roman" w:hAnsi="Times New Roman" w:eastAsia="黑体"/>
          <w:b/>
          <w:sz w:val="24"/>
        </w:rPr>
        <w:t>（一）事件日志提取方案</w:t>
      </w:r>
    </w:p>
    <w:p w14:paraId="50B2B723">
      <w:pPr>
        <w:spacing w:before="0" w:after="0" w:line="400" w:lineRule="exact"/>
        <w:ind w:firstLine="480"/>
        <w:jc w:val="both"/>
      </w:pPr>
      <w:r>
        <w:rPr>
          <w:rFonts w:ascii="Times New Roman" w:hAnsi="Times New Roman" w:eastAsia="宋体"/>
          <w:b w:val="0"/>
          <w:sz w:val="24"/>
        </w:rPr>
        <w:t>过程分析法的核心输入是事件日志（Event Log），其必须包含案例标识（Case ID）、活动名称（Activity）和时间戳（Timestamp）三个基本要素（Van der Aalst，2011）。本研究基于A医药集团统一管理平台积累的运营数据，提取符合过程分析法要求的事件日志数据集。</w:t>
      </w:r>
    </w:p>
    <w:p w14:paraId="714805C7">
      <w:pPr>
        <w:spacing w:before="0" w:after="0" w:line="400" w:lineRule="exact"/>
        <w:ind w:firstLine="480"/>
        <w:jc w:val="both"/>
      </w:pPr>
      <w:r>
        <w:rPr>
          <w:rFonts w:ascii="Times New Roman" w:hAnsi="Times New Roman" w:eastAsia="宋体"/>
          <w:b w:val="0"/>
          <w:sz w:val="24"/>
        </w:rPr>
        <w:t>数据提取范围覆盖2022年6月至2026年5月期间（48个月），涵盖医院A、医院B、医院C、医院D、医院E五个院区的完整运营数据（医院D、医院E自2024年起接入），共计1150万条事件记录。2022年6月之前平台处于小程序阶段，事件依赖事后手工补录且字段不全，故未纳入本研究。数据提取通过管理平台后台的数据报表模块完成，按照以下数据映射规则将平台原始数据字段转换为过程分析法标准格式。</w:t>
      </w:r>
    </w:p>
    <w:p w14:paraId="5258A1FB">
      <w:pPr>
        <w:spacing w:before="120" w:after="120" w:line="240" w:lineRule="auto"/>
        <w:jc w:val="center"/>
      </w:pPr>
      <w:r>
        <w:rPr>
          <w:rFonts w:ascii="Times New Roman" w:hAnsi="Times New Roman" w:eastAsia="宋体"/>
          <w:b w:val="0"/>
          <w:sz w:val="21"/>
        </w:rPr>
        <w:t>表4.1　事件日志数据字段映射</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3984383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479C4569">
            <w:pPr>
              <w:jc w:val="center"/>
            </w:pPr>
            <w:r>
              <w:rPr>
                <w:rFonts w:ascii="Times New Roman" w:hAnsi="Times New Roman" w:eastAsia="宋体"/>
                <w:b/>
                <w:sz w:val="20"/>
              </w:rPr>
              <w:t>过程分析法标准字段</w:t>
            </w:r>
          </w:p>
        </w:tc>
        <w:tc>
          <w:tcPr>
            <w:tcW w:w="2871" w:type="dxa"/>
            <w:tcBorders>
              <w:bottom w:val="single" w:color="000000" w:sz="12" w:space="0"/>
            </w:tcBorders>
          </w:tcPr>
          <w:p w14:paraId="1F2D3701">
            <w:pPr>
              <w:jc w:val="center"/>
            </w:pPr>
            <w:r>
              <w:rPr>
                <w:rFonts w:ascii="Times New Roman" w:hAnsi="Times New Roman" w:eastAsia="宋体"/>
                <w:b/>
                <w:sz w:val="20"/>
              </w:rPr>
              <w:t>平台原始字段</w:t>
            </w:r>
          </w:p>
        </w:tc>
        <w:tc>
          <w:tcPr>
            <w:tcW w:w="2871" w:type="dxa"/>
            <w:tcBorders>
              <w:bottom w:val="single" w:color="000000" w:sz="12" w:space="0"/>
            </w:tcBorders>
          </w:tcPr>
          <w:p w14:paraId="208F7970">
            <w:pPr>
              <w:jc w:val="center"/>
            </w:pPr>
            <w:r>
              <w:rPr>
                <w:rFonts w:ascii="Times New Roman" w:hAnsi="Times New Roman" w:eastAsia="宋体"/>
                <w:b/>
                <w:sz w:val="20"/>
              </w:rPr>
              <w:t>说明</w:t>
            </w:r>
          </w:p>
        </w:tc>
      </w:tr>
      <w:tr w14:paraId="27EFA78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42F34A4">
            <w:r>
              <w:rPr>
                <w:rFonts w:ascii="Times New Roman" w:hAnsi="Times New Roman" w:eastAsia="宋体"/>
                <w:sz w:val="20"/>
              </w:rPr>
              <w:t>Case ID</w:t>
            </w:r>
          </w:p>
        </w:tc>
        <w:tc>
          <w:tcPr>
            <w:tcW w:w="2871" w:type="dxa"/>
          </w:tcPr>
          <w:p w14:paraId="3E2C3FCB">
            <w:r>
              <w:rPr>
                <w:rFonts w:ascii="Times New Roman" w:hAnsi="Times New Roman" w:eastAsia="宋体"/>
                <w:sz w:val="20"/>
              </w:rPr>
              <w:t>案例ID（案例标识编码）</w:t>
            </w:r>
          </w:p>
        </w:tc>
        <w:tc>
          <w:tcPr>
            <w:tcW w:w="2871" w:type="dxa"/>
          </w:tcPr>
          <w:p w14:paraId="213CEA12">
            <w:r>
              <w:rPr>
                <w:rFonts w:ascii="Times New Roman" w:hAnsi="Times New Roman" w:eastAsia="宋体"/>
                <w:sz w:val="20"/>
              </w:rPr>
              <w:t>一次完整就诊流程的唯一标识</w:t>
            </w:r>
          </w:p>
        </w:tc>
      </w:tr>
      <w:tr w14:paraId="57247F9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02D347D">
            <w:r>
              <w:rPr>
                <w:rFonts w:ascii="Times New Roman" w:hAnsi="Times New Roman" w:eastAsia="宋体"/>
                <w:sz w:val="20"/>
              </w:rPr>
              <w:t>Activity</w:t>
            </w:r>
          </w:p>
        </w:tc>
        <w:tc>
          <w:tcPr>
            <w:tcW w:w="2871" w:type="dxa"/>
          </w:tcPr>
          <w:p w14:paraId="07C62789">
            <w:r>
              <w:rPr>
                <w:rFonts w:ascii="Times New Roman" w:hAnsi="Times New Roman" w:eastAsia="宋体"/>
                <w:sz w:val="20"/>
              </w:rPr>
              <w:t>事件类型</w:t>
            </w:r>
          </w:p>
        </w:tc>
        <w:tc>
          <w:tcPr>
            <w:tcW w:w="2871" w:type="dxa"/>
          </w:tcPr>
          <w:p w14:paraId="01FF09F3">
            <w:r>
              <w:rPr>
                <w:rFonts w:ascii="Times New Roman" w:hAnsi="Times New Roman" w:eastAsia="宋体"/>
                <w:sz w:val="20"/>
              </w:rPr>
              <w:t>问诊、处方开具、处方审核、检查申请、检查完成、取药等</w:t>
            </w:r>
          </w:p>
        </w:tc>
      </w:tr>
      <w:tr w14:paraId="41B5E0E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BC492E8">
            <w:r>
              <w:rPr>
                <w:rFonts w:ascii="Times New Roman" w:hAnsi="Times New Roman" w:eastAsia="宋体"/>
                <w:sz w:val="20"/>
              </w:rPr>
              <w:t>Timestamp</w:t>
            </w:r>
          </w:p>
        </w:tc>
        <w:tc>
          <w:tcPr>
            <w:tcW w:w="2871" w:type="dxa"/>
          </w:tcPr>
          <w:p w14:paraId="35466257">
            <w:r>
              <w:rPr>
                <w:rFonts w:ascii="Times New Roman" w:hAnsi="Times New Roman" w:eastAsia="宋体"/>
                <w:sz w:val="20"/>
              </w:rPr>
              <w:t>时间戳</w:t>
            </w:r>
          </w:p>
        </w:tc>
        <w:tc>
          <w:tcPr>
            <w:tcW w:w="2871" w:type="dxa"/>
          </w:tcPr>
          <w:p w14:paraId="54ADC3B0">
            <w:r>
              <w:rPr>
                <w:rFonts w:ascii="Times New Roman" w:hAnsi="Times New Roman" w:eastAsia="宋体"/>
                <w:sz w:val="20"/>
              </w:rPr>
              <w:t>精确到秒的事件发生时间</w:t>
            </w:r>
          </w:p>
        </w:tc>
      </w:tr>
      <w:tr w14:paraId="16681EE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19C69B4">
            <w:r>
              <w:rPr>
                <w:rFonts w:ascii="Times New Roman" w:hAnsi="Times New Roman" w:eastAsia="宋体"/>
                <w:sz w:val="20"/>
              </w:rPr>
              <w:t>Resource</w:t>
            </w:r>
          </w:p>
        </w:tc>
        <w:tc>
          <w:tcPr>
            <w:tcW w:w="2871" w:type="dxa"/>
          </w:tcPr>
          <w:p w14:paraId="65D40004">
            <w:r>
              <w:rPr>
                <w:rFonts w:ascii="Times New Roman" w:hAnsi="Times New Roman" w:eastAsia="宋体"/>
                <w:sz w:val="20"/>
              </w:rPr>
              <w:t>操作者（脱敏编码）</w:t>
            </w:r>
          </w:p>
        </w:tc>
        <w:tc>
          <w:tcPr>
            <w:tcW w:w="2871" w:type="dxa"/>
          </w:tcPr>
          <w:p w14:paraId="41099EC7">
            <w:r>
              <w:rPr>
                <w:rFonts w:ascii="Times New Roman" w:hAnsi="Times New Roman" w:eastAsia="宋体"/>
                <w:sz w:val="20"/>
              </w:rPr>
              <w:t>执行该操作的人员标识</w:t>
            </w:r>
          </w:p>
        </w:tc>
      </w:tr>
      <w:tr w14:paraId="1634E26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C2AEF1D">
            <w:r>
              <w:rPr>
                <w:rFonts w:ascii="Times New Roman" w:hAnsi="Times New Roman" w:eastAsia="宋体"/>
                <w:sz w:val="20"/>
              </w:rPr>
              <w:t>Role</w:t>
            </w:r>
          </w:p>
        </w:tc>
        <w:tc>
          <w:tcPr>
            <w:tcW w:w="2871" w:type="dxa"/>
          </w:tcPr>
          <w:p w14:paraId="1705F1D4">
            <w:r>
              <w:rPr>
                <w:rFonts w:ascii="Times New Roman" w:hAnsi="Times New Roman" w:eastAsia="宋体"/>
                <w:sz w:val="20"/>
              </w:rPr>
              <w:t>操作者角色</w:t>
            </w:r>
          </w:p>
        </w:tc>
        <w:tc>
          <w:tcPr>
            <w:tcW w:w="2871" w:type="dxa"/>
          </w:tcPr>
          <w:p w14:paraId="73CB1C5F">
            <w:r>
              <w:rPr>
                <w:rFonts w:ascii="Times New Roman" w:hAnsi="Times New Roman" w:eastAsia="宋体"/>
                <w:sz w:val="20"/>
              </w:rPr>
              <w:t>患者、医生、药师、系统</w:t>
            </w:r>
          </w:p>
        </w:tc>
      </w:tr>
      <w:tr w14:paraId="6B01483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7A49B46">
            <w:r>
              <w:rPr>
                <w:rFonts w:ascii="Times New Roman" w:hAnsi="Times New Roman" w:eastAsia="宋体"/>
                <w:sz w:val="20"/>
              </w:rPr>
              <w:t>Department</w:t>
            </w:r>
          </w:p>
        </w:tc>
        <w:tc>
          <w:tcPr>
            <w:tcW w:w="2871" w:type="dxa"/>
          </w:tcPr>
          <w:p w14:paraId="1BE9A411">
            <w:r>
              <w:rPr>
                <w:rFonts w:ascii="Times New Roman" w:hAnsi="Times New Roman" w:eastAsia="宋体"/>
                <w:sz w:val="20"/>
              </w:rPr>
              <w:t>所属科室</w:t>
            </w:r>
          </w:p>
        </w:tc>
        <w:tc>
          <w:tcPr>
            <w:tcW w:w="2871" w:type="dxa"/>
          </w:tcPr>
          <w:p w14:paraId="6B205E22">
            <w:r>
              <w:rPr>
                <w:rFonts w:ascii="Times New Roman" w:hAnsi="Times New Roman" w:eastAsia="宋体"/>
                <w:sz w:val="20"/>
              </w:rPr>
              <w:t>内科、外科、妇产科等</w:t>
            </w:r>
          </w:p>
        </w:tc>
      </w:tr>
      <w:tr w14:paraId="7CC2F82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DDD29DD">
            <w:r>
              <w:rPr>
                <w:rFonts w:ascii="Times New Roman" w:hAnsi="Times New Roman" w:eastAsia="宋体"/>
                <w:sz w:val="20"/>
              </w:rPr>
              <w:t>Location</w:t>
            </w:r>
          </w:p>
        </w:tc>
        <w:tc>
          <w:tcPr>
            <w:tcW w:w="2871" w:type="dxa"/>
          </w:tcPr>
          <w:p w14:paraId="2BC18BCD">
            <w:r>
              <w:rPr>
                <w:rFonts w:ascii="Times New Roman" w:hAnsi="Times New Roman" w:eastAsia="宋体"/>
                <w:sz w:val="20"/>
              </w:rPr>
              <w:t>发生院区</w:t>
            </w:r>
          </w:p>
        </w:tc>
        <w:tc>
          <w:tcPr>
            <w:tcW w:w="2871" w:type="dxa"/>
          </w:tcPr>
          <w:p w14:paraId="51FB38B1">
            <w:r>
              <w:rPr>
                <w:rFonts w:ascii="Times New Roman" w:hAnsi="Times New Roman" w:eastAsia="宋体"/>
                <w:sz w:val="20"/>
              </w:rPr>
              <w:t>医院A/B/C/D/E</w:t>
            </w:r>
          </w:p>
        </w:tc>
      </w:tr>
    </w:tbl>
    <w:p w14:paraId="3D45C473"/>
    <w:p w14:paraId="70E13B93">
      <w:pPr>
        <w:spacing w:before="0" w:after="0" w:line="400" w:lineRule="exact"/>
        <w:ind w:firstLine="480"/>
        <w:jc w:val="both"/>
      </w:pPr>
      <w:r>
        <w:rPr>
          <w:rFonts w:ascii="Times New Roman" w:hAnsi="Times New Roman" w:eastAsia="宋体"/>
          <w:b w:val="0"/>
          <w:sz w:val="24"/>
        </w:rPr>
        <w:t>事件日志数据的预处理分四步走。第一步是时间戳标准化：所有时间戳统一为"YYYY-MM-DD HH:MM:SS"格式，以北京时间（UTC+8）为基准。第二步处理缺失值：缺少案例ID或时间戳的记录（占总记录不足0.5%）予以排除；缺少操作者信息但系统日志完整的记录保留分析，Resource标记为"系统自动化"。第三步做异常值检测：检查时间戳逻辑，排除时间顺序异常（如事件完成时间早于开始时间）的记录；对极端等待时间（如超过72小时的单一环节停留）标记并人工核实，排除系统故障导致的记录错误。第四步，按案例ID对事件分组、按时间戳排序，构建每个案例的完整事件序列。</w:t>
      </w:r>
    </w:p>
    <w:p w14:paraId="7B77D8D1">
      <w:pPr>
        <w:spacing w:before="240" w:after="120" w:line="240" w:lineRule="auto"/>
        <w:ind w:firstLine="480"/>
        <w:outlineLvl w:val="3"/>
      </w:pPr>
      <w:r>
        <w:rPr>
          <w:rFonts w:ascii="Times New Roman" w:hAnsi="Times New Roman" w:eastAsia="黑体"/>
          <w:b/>
          <w:sz w:val="24"/>
        </w:rPr>
        <w:t>（二）流程模型生成方法</w:t>
      </w:r>
    </w:p>
    <w:p w14:paraId="00F000AB">
      <w:pPr>
        <w:spacing w:before="0" w:after="0" w:line="400" w:lineRule="exact"/>
        <w:ind w:firstLine="480"/>
        <w:jc w:val="both"/>
      </w:pPr>
      <w:r>
        <w:rPr>
          <w:rFonts w:ascii="Times New Roman" w:hAnsi="Times New Roman" w:eastAsia="宋体"/>
          <w:b w:val="0"/>
          <w:sz w:val="24"/>
        </w:rPr>
        <w:t>本研究采用发现型过程分析法（Discovery Process Mining），使用Python环境下的Pm4py开源库作为主要分析工具。Pm4py提供了完整的Process Mining算法实现，包括Alpha Miner、Inductive Miner和Heuristic Miner等主流流程发现算法（Berti 等，2019）。本研究选用Inductive Miner算法生成流程模型，该算法在处理含噪声和不完整事件日志时具有较好的鲁棒性，能够生成合理的流程模型结构并保证模型的合理性（soundness）。</w:t>
      </w:r>
    </w:p>
    <w:p w14:paraId="30A3C7E8">
      <w:pPr>
        <w:spacing w:before="0" w:after="0" w:line="400" w:lineRule="exact"/>
        <w:ind w:firstLine="480"/>
        <w:jc w:val="both"/>
      </w:pPr>
      <w:r>
        <w:rPr>
          <w:rFonts w:ascii="Times New Roman" w:hAnsi="Times New Roman" w:eastAsia="宋体"/>
          <w:b w:val="0"/>
          <w:sz w:val="24"/>
        </w:rPr>
        <w:t>流程模型生成的具体步骤如下。第一步，将预处理后的事件日志数据导入Pm4py，构建事件日志对象。第二步，应用Inductive Miner算法从事件日志中自动发现流程模型，生成以Petri网或过程树（Process Tree）形式表示的流程图。第三步，计算流程模型与事件日志的拟合度（Fitness），以评估所发现模型对实际数据的解释程度。第四步，将流程模型可视化输出，标注各活动的发生频次和平均处理时间。</w:t>
      </w:r>
    </w:p>
    <w:p w14:paraId="5E2D2E23">
      <w:pPr>
        <w:spacing w:before="240" w:after="120" w:line="240" w:lineRule="auto"/>
        <w:ind w:firstLine="480"/>
        <w:outlineLvl w:val="3"/>
      </w:pPr>
      <w:r>
        <w:rPr>
          <w:rFonts w:ascii="Times New Roman" w:hAnsi="Times New Roman" w:eastAsia="黑体"/>
          <w:b/>
          <w:sz w:val="24"/>
        </w:rPr>
        <w:t>（三）变体分析与瓶颈识别路径</w:t>
      </w:r>
    </w:p>
    <w:p w14:paraId="711C53E4">
      <w:pPr>
        <w:spacing w:before="0" w:after="0" w:line="400" w:lineRule="exact"/>
        <w:ind w:firstLine="480"/>
        <w:jc w:val="both"/>
      </w:pPr>
      <w:r>
        <w:rPr>
          <w:rFonts w:ascii="Times New Roman" w:hAnsi="Times New Roman" w:eastAsia="宋体"/>
          <w:b w:val="0"/>
          <w:sz w:val="24"/>
        </w:rPr>
        <w:t>在生成全局流程模型的基础上，本研究进一步进行流程变体分析（Variant Analysis），以识别不同的流程路径及其频率分布。每个案例的事件序列构成一条流程变体，通过统计各变体的出现频率，可以识别出高频的"主流路径"和低频的"异常路径"。高频路径反映了大多数患者经历的标准服务流程，而异常路径则可能揭示了流程中的偏差、返工或错误。</w:t>
      </w:r>
    </w:p>
    <w:p w14:paraId="36AECE97">
      <w:pPr>
        <w:spacing w:before="0" w:after="0" w:line="400" w:lineRule="exact"/>
        <w:ind w:firstLine="480"/>
        <w:jc w:val="both"/>
      </w:pPr>
      <w:r>
        <w:rPr>
          <w:rFonts w:ascii="Times New Roman" w:hAnsi="Times New Roman" w:eastAsia="宋体"/>
          <w:b w:val="0"/>
          <w:sz w:val="24"/>
        </w:rPr>
        <w:t>瓶颈识别采用以下量化指标体系：（1）各环节的平均处理时间，用于衡量每个业务活动的耗时水平；（2）相邻活动之间的平均等待时间，用于衡量环节之间的传递延迟；（3）各环节的流转次数，用于识别患者需要在同一环节多次往返的情况；（4）返工率，即需要重复执行的环节占该环节总执行次数的比例。通过上述指标的综合分析，精准定位流程中效率最低、延迟最长的瓶颈环节。</w:t>
      </w:r>
    </w:p>
    <w:p w14:paraId="7E12EC5D">
      <w:pPr>
        <w:spacing w:before="240" w:after="120" w:line="240" w:lineRule="auto"/>
        <w:ind w:firstLine="520"/>
        <w:outlineLvl w:val="2"/>
      </w:pPr>
      <w:bookmarkStart w:id="52" w:name="_Toc27077"/>
      <w:r>
        <w:rPr>
          <w:rFonts w:ascii="Times New Roman" w:hAnsi="Times New Roman" w:eastAsia="黑体"/>
          <w:b/>
          <w:sz w:val="26"/>
        </w:rPr>
        <w:t>二、层次分析法（AHP）应用设计</w:t>
      </w:r>
      <w:bookmarkEnd w:id="52"/>
    </w:p>
    <w:p w14:paraId="1259C632">
      <w:pPr>
        <w:spacing w:before="240" w:after="120" w:line="240" w:lineRule="auto"/>
        <w:ind w:firstLine="480"/>
        <w:outlineLvl w:val="3"/>
      </w:pPr>
      <w:r>
        <w:rPr>
          <w:rFonts w:ascii="Times New Roman" w:hAnsi="Times New Roman" w:eastAsia="黑体"/>
          <w:b/>
          <w:sz w:val="24"/>
        </w:rPr>
        <w:t>（一）层次结构构建</w:t>
      </w:r>
    </w:p>
    <w:p w14:paraId="251B48E1">
      <w:pPr>
        <w:spacing w:before="0" w:after="0" w:line="400" w:lineRule="exact"/>
        <w:ind w:firstLine="480"/>
        <w:jc w:val="both"/>
      </w:pPr>
      <w:r>
        <w:rPr>
          <w:rFonts w:ascii="Times New Roman" w:hAnsi="Times New Roman" w:eastAsia="宋体"/>
          <w:b w:val="0"/>
          <w:sz w:val="24"/>
        </w:rPr>
        <w:t>层次分析法（Analytic Hierarchy Process，AHP）由Saaty于1980年提出，是一种将复杂决策问题分解为多层次结构、通过两两比较确定各因素相对重要性的定量决策方法。本研究中，AHP方法用于评估和排序流程瓶颈的改进优先级，为优化资源的配置提供定量决策依据。</w:t>
      </w:r>
    </w:p>
    <w:p w14:paraId="176511BE">
      <w:pPr>
        <w:spacing w:before="0" w:after="0" w:line="400" w:lineRule="exact"/>
        <w:ind w:firstLine="480"/>
        <w:jc w:val="both"/>
      </w:pPr>
      <w:r>
        <w:rPr>
          <w:rFonts w:ascii="Times New Roman" w:hAnsi="Times New Roman" w:eastAsia="宋体"/>
          <w:b w:val="0"/>
          <w:sz w:val="24"/>
        </w:rPr>
        <w:t>本研究构建的AHP层次结构分为目标层、准则层和方案层三个层次。目标层为"互联网医院服务流程瓶颈改进优先级排序"，即确定哪些瓶颈环节应被优先改进。准则层包含五个评价维度：影响程度（瓶颈对整体流程效率的影响大小）、改造成本（改进该瓶颈所需的技术、人力和资金投入）、实施难度（改进方案的技术复杂度和组织协调难度）、预期效果（改进后预计带来的效率提升幅度）和患者影响（改进对患者体验的改善程度）。方案层为第三章第四节中已识别的各流程瓶颈环节，包括但不限于：电子处方到线下检查的衔接断点、检查结果到复诊的信息回路断点、药品配送最后一公里问题、多院区信息孤岛问题、服务标准不统一问题、数据利用不足问题等。</w:t>
      </w:r>
    </w:p>
    <w:p w14:paraId="4D0BFA87">
      <w:pPr>
        <w:spacing w:before="120" w:after="120" w:line="240" w:lineRule="auto"/>
        <w:jc w:val="center"/>
      </w:pPr>
      <w:r>
        <w:rPr>
          <w:rFonts w:ascii="Times New Roman" w:hAnsi="Times New Roman" w:eastAsia="宋体"/>
          <w:b w:val="0"/>
          <w:sz w:val="21"/>
        </w:rPr>
        <w:t>表4.2　AHP层次结构</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5F17F58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61EE5CD4">
            <w:pPr>
              <w:jc w:val="center"/>
            </w:pPr>
            <w:r>
              <w:rPr>
                <w:rFonts w:ascii="Times New Roman" w:hAnsi="Times New Roman" w:eastAsia="宋体"/>
                <w:b/>
                <w:sz w:val="20"/>
              </w:rPr>
              <w:t>层次</w:t>
            </w:r>
          </w:p>
        </w:tc>
        <w:tc>
          <w:tcPr>
            <w:tcW w:w="2871" w:type="dxa"/>
            <w:tcBorders>
              <w:bottom w:val="single" w:color="000000" w:sz="12" w:space="0"/>
            </w:tcBorders>
          </w:tcPr>
          <w:p w14:paraId="6B62F1E4">
            <w:pPr>
              <w:jc w:val="center"/>
            </w:pPr>
            <w:r>
              <w:rPr>
                <w:rFonts w:ascii="Times New Roman" w:hAnsi="Times New Roman" w:eastAsia="宋体"/>
                <w:b/>
                <w:sz w:val="20"/>
              </w:rPr>
              <w:t>内容</w:t>
            </w:r>
          </w:p>
        </w:tc>
        <w:tc>
          <w:tcPr>
            <w:tcW w:w="2871" w:type="dxa"/>
            <w:tcBorders>
              <w:bottom w:val="single" w:color="000000" w:sz="12" w:space="0"/>
            </w:tcBorders>
          </w:tcPr>
          <w:p w14:paraId="40D4F641">
            <w:pPr>
              <w:jc w:val="center"/>
            </w:pPr>
            <w:r>
              <w:rPr>
                <w:rFonts w:ascii="Times New Roman" w:hAnsi="Times New Roman" w:eastAsia="宋体"/>
                <w:b/>
                <w:sz w:val="20"/>
              </w:rPr>
              <w:t>说明</w:t>
            </w:r>
          </w:p>
        </w:tc>
      </w:tr>
      <w:tr w14:paraId="34DC542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5EE8B968">
            <w:r>
              <w:rPr>
                <w:rFonts w:ascii="Times New Roman" w:hAnsi="Times New Roman" w:eastAsia="宋体"/>
                <w:sz w:val="20"/>
              </w:rPr>
              <w:t>目标层</w:t>
            </w:r>
          </w:p>
        </w:tc>
        <w:tc>
          <w:tcPr>
            <w:tcW w:w="2871" w:type="dxa"/>
          </w:tcPr>
          <w:p w14:paraId="45AC4019">
            <w:r>
              <w:rPr>
                <w:rFonts w:ascii="Times New Roman" w:hAnsi="Times New Roman" w:eastAsia="宋体"/>
                <w:sz w:val="20"/>
              </w:rPr>
              <w:t>流程瓶颈改进优先级排序</w:t>
            </w:r>
          </w:p>
        </w:tc>
        <w:tc>
          <w:tcPr>
            <w:tcW w:w="2871" w:type="dxa"/>
          </w:tcPr>
          <w:p w14:paraId="541B4655">
            <w:r>
              <w:rPr>
                <w:rFonts w:ascii="Times New Roman" w:hAnsi="Times New Roman" w:eastAsia="宋体"/>
                <w:sz w:val="20"/>
              </w:rPr>
              <w:t>确定各瓶颈环节的改进优先顺序</w:t>
            </w:r>
          </w:p>
        </w:tc>
      </w:tr>
      <w:tr w14:paraId="763FDA7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0FAB8A37">
            <w:r>
              <w:rPr>
                <w:rFonts w:ascii="Times New Roman" w:hAnsi="Times New Roman" w:eastAsia="宋体"/>
                <w:sz w:val="20"/>
              </w:rPr>
              <w:t>准则层</w:t>
            </w:r>
          </w:p>
        </w:tc>
        <w:tc>
          <w:tcPr>
            <w:tcW w:w="2871" w:type="dxa"/>
          </w:tcPr>
          <w:p w14:paraId="1FB4C87E">
            <w:r>
              <w:rPr>
                <w:rFonts w:ascii="Times New Roman" w:hAnsi="Times New Roman" w:eastAsia="宋体"/>
                <w:sz w:val="20"/>
              </w:rPr>
              <w:t>C1影响程度、C2改造成本、C3实施难度、C4预期效果、C5患者影响</w:t>
            </w:r>
          </w:p>
        </w:tc>
        <w:tc>
          <w:tcPr>
            <w:tcW w:w="2871" w:type="dxa"/>
          </w:tcPr>
          <w:p w14:paraId="62C9F304">
            <w:r>
              <w:rPr>
                <w:rFonts w:ascii="Times New Roman" w:hAnsi="Times New Roman" w:eastAsia="宋体"/>
                <w:sz w:val="20"/>
              </w:rPr>
              <w:t>五个评价维度</w:t>
            </w:r>
          </w:p>
        </w:tc>
      </w:tr>
      <w:tr w14:paraId="6EFE479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55AB08B">
            <w:r>
              <w:rPr>
                <w:rFonts w:ascii="Times New Roman" w:hAnsi="Times New Roman" w:eastAsia="宋体"/>
                <w:sz w:val="20"/>
              </w:rPr>
              <w:t>方案层</w:t>
            </w:r>
          </w:p>
        </w:tc>
        <w:tc>
          <w:tcPr>
            <w:tcW w:w="2871" w:type="dxa"/>
          </w:tcPr>
          <w:p w14:paraId="4B7EBF16">
            <w:r>
              <w:rPr>
                <w:rFonts w:ascii="Times New Roman" w:hAnsi="Times New Roman" w:eastAsia="宋体"/>
                <w:sz w:val="20"/>
              </w:rPr>
              <w:t>B1处方-检查衔接断点、B2检查-复诊回路断点、B3配送最后一公里、B4信息孤岛、B5标准不统一、B6数据利用不足</w:t>
            </w:r>
          </w:p>
        </w:tc>
        <w:tc>
          <w:tcPr>
            <w:tcW w:w="2871" w:type="dxa"/>
          </w:tcPr>
          <w:p w14:paraId="467E4B85">
            <w:r>
              <w:rPr>
                <w:rFonts w:ascii="Times New Roman" w:hAnsi="Times New Roman" w:eastAsia="宋体"/>
                <w:sz w:val="20"/>
              </w:rPr>
              <w:t>待排序的瓶颈环节</w:t>
            </w:r>
          </w:p>
        </w:tc>
      </w:tr>
    </w:tbl>
    <w:p w14:paraId="341C06CC"/>
    <w:p w14:paraId="76E70E32">
      <w:pPr>
        <w:spacing w:before="240" w:after="120" w:line="240" w:lineRule="auto"/>
        <w:ind w:firstLine="480"/>
        <w:outlineLvl w:val="3"/>
      </w:pPr>
      <w:r>
        <w:rPr>
          <w:rFonts w:ascii="Times New Roman" w:hAnsi="Times New Roman" w:eastAsia="黑体"/>
          <w:b/>
          <w:sz w:val="24"/>
        </w:rPr>
        <w:t>（二）判断矩阵设计</w:t>
      </w:r>
    </w:p>
    <w:p w14:paraId="6B5C4703">
      <w:pPr>
        <w:spacing w:before="0" w:after="0" w:line="400" w:lineRule="exact"/>
        <w:ind w:firstLine="480"/>
        <w:jc w:val="both"/>
      </w:pPr>
      <w:r>
        <w:rPr>
          <w:rFonts w:ascii="Times New Roman" w:hAnsi="Times New Roman" w:eastAsia="宋体"/>
          <w:b w:val="0"/>
          <w:sz w:val="24"/>
        </w:rPr>
        <w:t>判断矩阵是AHP方法的核心工具，通过对同一层次中各因素进行两两比较，确定其相对重要性。本研究采用Saaty提出的1-9标度法，其中1表示两个因素同等重要，3表示前者比后者稍微重要，5表示明显重要，7表示强烈重要，9表示极端重要，2、4、6、8表示相邻标度的中间值，倒数表示后者比前者重要的程度。</w:t>
      </w:r>
    </w:p>
    <w:p w14:paraId="308287B1">
      <w:pPr>
        <w:spacing w:before="0" w:after="0" w:line="400" w:lineRule="exact"/>
        <w:ind w:firstLine="480"/>
        <w:jc w:val="both"/>
      </w:pPr>
      <w:r>
        <w:rPr>
          <w:rFonts w:ascii="Times New Roman" w:hAnsi="Times New Roman" w:eastAsia="宋体"/>
          <w:b w:val="0"/>
          <w:sz w:val="24"/>
        </w:rPr>
        <w:t>判断矩阵的构建需遵循以下原则：矩阵对角线元素必须为1（任何因素与自身比较均为同等重要）；矩阵满足互反性，即若因素i与因素j比较的标度为aij，则因素j与因素i比较的标度aji=1/aij。本研究以准则层的五个评价维度为例，构建判断矩阵如表4.3所示。</w:t>
      </w:r>
    </w:p>
    <w:p w14:paraId="73BB9D6A">
      <w:pPr>
        <w:spacing w:before="120" w:after="120" w:line="240" w:lineRule="auto"/>
        <w:jc w:val="center"/>
      </w:pPr>
      <w:r>
        <w:rPr>
          <w:rFonts w:ascii="Times New Roman" w:hAnsi="Times New Roman" w:eastAsia="宋体"/>
          <w:b w:val="0"/>
          <w:sz w:val="21"/>
        </w:rPr>
        <w:t>表4.3　准则层判断矩阵（示例）</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20536AB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2ECA8ECC">
            <w:pPr>
              <w:jc w:val="center"/>
            </w:pPr>
            <w:r>
              <w:rPr>
                <w:rFonts w:ascii="Times New Roman" w:hAnsi="Times New Roman" w:eastAsia="宋体"/>
                <w:b/>
                <w:sz w:val="20"/>
              </w:rPr>
              <w:t>准则</w:t>
            </w:r>
          </w:p>
        </w:tc>
        <w:tc>
          <w:tcPr>
            <w:tcW w:w="1435" w:type="dxa"/>
            <w:tcBorders>
              <w:bottom w:val="single" w:color="000000" w:sz="12" w:space="0"/>
            </w:tcBorders>
          </w:tcPr>
          <w:p w14:paraId="627D5727">
            <w:pPr>
              <w:jc w:val="center"/>
            </w:pPr>
            <w:r>
              <w:rPr>
                <w:rFonts w:ascii="Times New Roman" w:hAnsi="Times New Roman" w:eastAsia="宋体"/>
                <w:b/>
                <w:sz w:val="20"/>
              </w:rPr>
              <w:t>C1影响程度</w:t>
            </w:r>
          </w:p>
        </w:tc>
        <w:tc>
          <w:tcPr>
            <w:tcW w:w="1435" w:type="dxa"/>
            <w:tcBorders>
              <w:bottom w:val="single" w:color="000000" w:sz="12" w:space="0"/>
            </w:tcBorders>
          </w:tcPr>
          <w:p w14:paraId="5033273E">
            <w:pPr>
              <w:jc w:val="center"/>
            </w:pPr>
            <w:r>
              <w:rPr>
                <w:rFonts w:ascii="Times New Roman" w:hAnsi="Times New Roman" w:eastAsia="宋体"/>
                <w:b/>
                <w:sz w:val="20"/>
              </w:rPr>
              <w:t>C2改造成本</w:t>
            </w:r>
          </w:p>
        </w:tc>
        <w:tc>
          <w:tcPr>
            <w:tcW w:w="1435" w:type="dxa"/>
            <w:tcBorders>
              <w:bottom w:val="single" w:color="000000" w:sz="12" w:space="0"/>
            </w:tcBorders>
          </w:tcPr>
          <w:p w14:paraId="2DCB6B52">
            <w:pPr>
              <w:jc w:val="center"/>
            </w:pPr>
            <w:r>
              <w:rPr>
                <w:rFonts w:ascii="Times New Roman" w:hAnsi="Times New Roman" w:eastAsia="宋体"/>
                <w:b/>
                <w:sz w:val="20"/>
              </w:rPr>
              <w:t>C3实施难度</w:t>
            </w:r>
          </w:p>
        </w:tc>
        <w:tc>
          <w:tcPr>
            <w:tcW w:w="1435" w:type="dxa"/>
            <w:tcBorders>
              <w:bottom w:val="single" w:color="000000" w:sz="12" w:space="0"/>
            </w:tcBorders>
          </w:tcPr>
          <w:p w14:paraId="7EC1346C">
            <w:pPr>
              <w:jc w:val="center"/>
            </w:pPr>
            <w:r>
              <w:rPr>
                <w:rFonts w:ascii="Times New Roman" w:hAnsi="Times New Roman" w:eastAsia="宋体"/>
                <w:b/>
                <w:sz w:val="20"/>
              </w:rPr>
              <w:t>C4预期效果</w:t>
            </w:r>
          </w:p>
        </w:tc>
        <w:tc>
          <w:tcPr>
            <w:tcW w:w="1435" w:type="dxa"/>
            <w:tcBorders>
              <w:bottom w:val="single" w:color="000000" w:sz="12" w:space="0"/>
            </w:tcBorders>
          </w:tcPr>
          <w:p w14:paraId="47CF271F">
            <w:pPr>
              <w:jc w:val="center"/>
            </w:pPr>
            <w:r>
              <w:rPr>
                <w:rFonts w:ascii="Times New Roman" w:hAnsi="Times New Roman" w:eastAsia="宋体"/>
                <w:b/>
                <w:sz w:val="20"/>
              </w:rPr>
              <w:t>C5患者影响</w:t>
            </w:r>
          </w:p>
        </w:tc>
      </w:tr>
      <w:tr w14:paraId="3EFDCB8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632FC98C">
            <w:r>
              <w:rPr>
                <w:rFonts w:ascii="Times New Roman" w:hAnsi="Times New Roman" w:eastAsia="宋体"/>
                <w:sz w:val="20"/>
              </w:rPr>
              <w:t>C1影响程度</w:t>
            </w:r>
          </w:p>
        </w:tc>
        <w:tc>
          <w:tcPr>
            <w:tcW w:w="1435" w:type="dxa"/>
          </w:tcPr>
          <w:p w14:paraId="5B878066">
            <w:r>
              <w:rPr>
                <w:rFonts w:ascii="Times New Roman" w:hAnsi="Times New Roman" w:eastAsia="宋体"/>
                <w:sz w:val="20"/>
              </w:rPr>
              <w:t>1</w:t>
            </w:r>
          </w:p>
        </w:tc>
        <w:tc>
          <w:tcPr>
            <w:tcW w:w="1435" w:type="dxa"/>
          </w:tcPr>
          <w:p w14:paraId="5CD64AB8">
            <w:r>
              <w:rPr>
                <w:rFonts w:ascii="Times New Roman" w:hAnsi="Times New Roman" w:eastAsia="宋体"/>
                <w:sz w:val="20"/>
              </w:rPr>
              <w:t>3</w:t>
            </w:r>
          </w:p>
        </w:tc>
        <w:tc>
          <w:tcPr>
            <w:tcW w:w="1435" w:type="dxa"/>
          </w:tcPr>
          <w:p w14:paraId="74AEC40E">
            <w:r>
              <w:rPr>
                <w:rFonts w:ascii="Times New Roman" w:hAnsi="Times New Roman" w:eastAsia="宋体"/>
                <w:sz w:val="20"/>
              </w:rPr>
              <w:t>4</w:t>
            </w:r>
          </w:p>
        </w:tc>
        <w:tc>
          <w:tcPr>
            <w:tcW w:w="1435" w:type="dxa"/>
          </w:tcPr>
          <w:p w14:paraId="6F93A91C">
            <w:r>
              <w:rPr>
                <w:rFonts w:ascii="Times New Roman" w:hAnsi="Times New Roman" w:eastAsia="宋体"/>
                <w:sz w:val="20"/>
              </w:rPr>
              <w:t>2</w:t>
            </w:r>
          </w:p>
        </w:tc>
        <w:tc>
          <w:tcPr>
            <w:tcW w:w="1435" w:type="dxa"/>
          </w:tcPr>
          <w:p w14:paraId="7DBE632E">
            <w:r>
              <w:rPr>
                <w:rFonts w:ascii="Times New Roman" w:hAnsi="Times New Roman" w:eastAsia="宋体"/>
                <w:sz w:val="20"/>
              </w:rPr>
              <w:t>2</w:t>
            </w:r>
          </w:p>
        </w:tc>
      </w:tr>
      <w:tr w14:paraId="4BF7452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47E937B5">
            <w:r>
              <w:rPr>
                <w:rFonts w:ascii="Times New Roman" w:hAnsi="Times New Roman" w:eastAsia="宋体"/>
                <w:sz w:val="20"/>
              </w:rPr>
              <w:t>C2改造成本</w:t>
            </w:r>
          </w:p>
        </w:tc>
        <w:tc>
          <w:tcPr>
            <w:tcW w:w="1435" w:type="dxa"/>
          </w:tcPr>
          <w:p w14:paraId="3C4D7B5B">
            <w:r>
              <w:rPr>
                <w:rFonts w:ascii="Times New Roman" w:hAnsi="Times New Roman" w:eastAsia="宋体"/>
                <w:sz w:val="20"/>
              </w:rPr>
              <w:t>1/3</w:t>
            </w:r>
          </w:p>
        </w:tc>
        <w:tc>
          <w:tcPr>
            <w:tcW w:w="1435" w:type="dxa"/>
          </w:tcPr>
          <w:p w14:paraId="24511C29">
            <w:r>
              <w:rPr>
                <w:rFonts w:ascii="Times New Roman" w:hAnsi="Times New Roman" w:eastAsia="宋体"/>
                <w:sz w:val="20"/>
              </w:rPr>
              <w:t>1</w:t>
            </w:r>
          </w:p>
        </w:tc>
        <w:tc>
          <w:tcPr>
            <w:tcW w:w="1435" w:type="dxa"/>
          </w:tcPr>
          <w:p w14:paraId="26C976B4">
            <w:r>
              <w:rPr>
                <w:rFonts w:ascii="Times New Roman" w:hAnsi="Times New Roman" w:eastAsia="宋体"/>
                <w:sz w:val="20"/>
              </w:rPr>
              <w:t>2</w:t>
            </w:r>
          </w:p>
        </w:tc>
        <w:tc>
          <w:tcPr>
            <w:tcW w:w="1435" w:type="dxa"/>
          </w:tcPr>
          <w:p w14:paraId="422B195A">
            <w:r>
              <w:rPr>
                <w:rFonts w:ascii="Times New Roman" w:hAnsi="Times New Roman" w:eastAsia="宋体"/>
                <w:sz w:val="20"/>
              </w:rPr>
              <w:t>1/2</w:t>
            </w:r>
          </w:p>
        </w:tc>
        <w:tc>
          <w:tcPr>
            <w:tcW w:w="1435" w:type="dxa"/>
          </w:tcPr>
          <w:p w14:paraId="1F14E72A">
            <w:r>
              <w:rPr>
                <w:rFonts w:ascii="Times New Roman" w:hAnsi="Times New Roman" w:eastAsia="宋体"/>
                <w:sz w:val="20"/>
              </w:rPr>
              <w:t>1/2</w:t>
            </w:r>
          </w:p>
        </w:tc>
      </w:tr>
      <w:tr w14:paraId="01D8B2A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5E6F434">
            <w:r>
              <w:rPr>
                <w:rFonts w:ascii="Times New Roman" w:hAnsi="Times New Roman" w:eastAsia="宋体"/>
                <w:sz w:val="20"/>
              </w:rPr>
              <w:t>C3实施难度</w:t>
            </w:r>
          </w:p>
        </w:tc>
        <w:tc>
          <w:tcPr>
            <w:tcW w:w="1435" w:type="dxa"/>
          </w:tcPr>
          <w:p w14:paraId="44F55317">
            <w:r>
              <w:rPr>
                <w:rFonts w:ascii="Times New Roman" w:hAnsi="Times New Roman" w:eastAsia="宋体"/>
                <w:sz w:val="20"/>
              </w:rPr>
              <w:t>1/4</w:t>
            </w:r>
          </w:p>
        </w:tc>
        <w:tc>
          <w:tcPr>
            <w:tcW w:w="1435" w:type="dxa"/>
          </w:tcPr>
          <w:p w14:paraId="78D1270B">
            <w:r>
              <w:rPr>
                <w:rFonts w:ascii="Times New Roman" w:hAnsi="Times New Roman" w:eastAsia="宋体"/>
                <w:sz w:val="20"/>
              </w:rPr>
              <w:t>1/2</w:t>
            </w:r>
          </w:p>
        </w:tc>
        <w:tc>
          <w:tcPr>
            <w:tcW w:w="1435" w:type="dxa"/>
          </w:tcPr>
          <w:p w14:paraId="38D90278">
            <w:r>
              <w:rPr>
                <w:rFonts w:ascii="Times New Roman" w:hAnsi="Times New Roman" w:eastAsia="宋体"/>
                <w:sz w:val="20"/>
              </w:rPr>
              <w:t>1</w:t>
            </w:r>
          </w:p>
        </w:tc>
        <w:tc>
          <w:tcPr>
            <w:tcW w:w="1435" w:type="dxa"/>
          </w:tcPr>
          <w:p w14:paraId="6B1A4190">
            <w:r>
              <w:rPr>
                <w:rFonts w:ascii="Times New Roman" w:hAnsi="Times New Roman" w:eastAsia="宋体"/>
                <w:sz w:val="20"/>
              </w:rPr>
              <w:t>1/3</w:t>
            </w:r>
          </w:p>
        </w:tc>
        <w:tc>
          <w:tcPr>
            <w:tcW w:w="1435" w:type="dxa"/>
          </w:tcPr>
          <w:p w14:paraId="3F1F6A06">
            <w:r>
              <w:rPr>
                <w:rFonts w:ascii="Times New Roman" w:hAnsi="Times New Roman" w:eastAsia="宋体"/>
                <w:sz w:val="20"/>
              </w:rPr>
              <w:t>1/3</w:t>
            </w:r>
          </w:p>
        </w:tc>
      </w:tr>
      <w:tr w14:paraId="62F208C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51A02DD">
            <w:r>
              <w:rPr>
                <w:rFonts w:ascii="Times New Roman" w:hAnsi="Times New Roman" w:eastAsia="宋体"/>
                <w:sz w:val="20"/>
              </w:rPr>
              <w:t>C4预期效果</w:t>
            </w:r>
          </w:p>
        </w:tc>
        <w:tc>
          <w:tcPr>
            <w:tcW w:w="1435" w:type="dxa"/>
          </w:tcPr>
          <w:p w14:paraId="09AA103A">
            <w:r>
              <w:rPr>
                <w:rFonts w:ascii="Times New Roman" w:hAnsi="Times New Roman" w:eastAsia="宋体"/>
                <w:sz w:val="20"/>
              </w:rPr>
              <w:t>1/2</w:t>
            </w:r>
          </w:p>
        </w:tc>
        <w:tc>
          <w:tcPr>
            <w:tcW w:w="1435" w:type="dxa"/>
          </w:tcPr>
          <w:p w14:paraId="07DE7BA1">
            <w:r>
              <w:rPr>
                <w:rFonts w:ascii="Times New Roman" w:hAnsi="Times New Roman" w:eastAsia="宋体"/>
                <w:sz w:val="20"/>
              </w:rPr>
              <w:t>2</w:t>
            </w:r>
          </w:p>
        </w:tc>
        <w:tc>
          <w:tcPr>
            <w:tcW w:w="1435" w:type="dxa"/>
          </w:tcPr>
          <w:p w14:paraId="4010C5A8">
            <w:r>
              <w:rPr>
                <w:rFonts w:ascii="Times New Roman" w:hAnsi="Times New Roman" w:eastAsia="宋体"/>
                <w:sz w:val="20"/>
              </w:rPr>
              <w:t>3</w:t>
            </w:r>
          </w:p>
        </w:tc>
        <w:tc>
          <w:tcPr>
            <w:tcW w:w="1435" w:type="dxa"/>
          </w:tcPr>
          <w:p w14:paraId="2250E451">
            <w:r>
              <w:rPr>
                <w:rFonts w:ascii="Times New Roman" w:hAnsi="Times New Roman" w:eastAsia="宋体"/>
                <w:sz w:val="20"/>
              </w:rPr>
              <w:t>1</w:t>
            </w:r>
          </w:p>
        </w:tc>
        <w:tc>
          <w:tcPr>
            <w:tcW w:w="1435" w:type="dxa"/>
          </w:tcPr>
          <w:p w14:paraId="1E29AF89">
            <w:r>
              <w:rPr>
                <w:rFonts w:ascii="Times New Roman" w:hAnsi="Times New Roman" w:eastAsia="宋体"/>
                <w:sz w:val="20"/>
              </w:rPr>
              <w:t>1</w:t>
            </w:r>
          </w:p>
        </w:tc>
      </w:tr>
      <w:tr w14:paraId="29C552C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EE58430">
            <w:r>
              <w:rPr>
                <w:rFonts w:ascii="Times New Roman" w:hAnsi="Times New Roman" w:eastAsia="宋体"/>
                <w:sz w:val="20"/>
              </w:rPr>
              <w:t>C5患者影响</w:t>
            </w:r>
          </w:p>
        </w:tc>
        <w:tc>
          <w:tcPr>
            <w:tcW w:w="1435" w:type="dxa"/>
          </w:tcPr>
          <w:p w14:paraId="65E55D6A">
            <w:r>
              <w:rPr>
                <w:rFonts w:ascii="Times New Roman" w:hAnsi="Times New Roman" w:eastAsia="宋体"/>
                <w:sz w:val="20"/>
              </w:rPr>
              <w:t>1/2</w:t>
            </w:r>
          </w:p>
        </w:tc>
        <w:tc>
          <w:tcPr>
            <w:tcW w:w="1435" w:type="dxa"/>
          </w:tcPr>
          <w:p w14:paraId="353E2300">
            <w:r>
              <w:rPr>
                <w:rFonts w:ascii="Times New Roman" w:hAnsi="Times New Roman" w:eastAsia="宋体"/>
                <w:sz w:val="20"/>
              </w:rPr>
              <w:t>2</w:t>
            </w:r>
          </w:p>
        </w:tc>
        <w:tc>
          <w:tcPr>
            <w:tcW w:w="1435" w:type="dxa"/>
          </w:tcPr>
          <w:p w14:paraId="5E0C1B6D">
            <w:r>
              <w:rPr>
                <w:rFonts w:ascii="Times New Roman" w:hAnsi="Times New Roman" w:eastAsia="宋体"/>
                <w:sz w:val="20"/>
              </w:rPr>
              <w:t>3</w:t>
            </w:r>
          </w:p>
        </w:tc>
        <w:tc>
          <w:tcPr>
            <w:tcW w:w="1435" w:type="dxa"/>
          </w:tcPr>
          <w:p w14:paraId="488E0811">
            <w:r>
              <w:rPr>
                <w:rFonts w:ascii="Times New Roman" w:hAnsi="Times New Roman" w:eastAsia="宋体"/>
                <w:sz w:val="20"/>
              </w:rPr>
              <w:t>1</w:t>
            </w:r>
          </w:p>
        </w:tc>
        <w:tc>
          <w:tcPr>
            <w:tcW w:w="1435" w:type="dxa"/>
          </w:tcPr>
          <w:p w14:paraId="5002EA80">
            <w:r>
              <w:rPr>
                <w:rFonts w:ascii="Times New Roman" w:hAnsi="Times New Roman" w:eastAsia="宋体"/>
                <w:sz w:val="20"/>
              </w:rPr>
              <w:t>1</w:t>
            </w:r>
          </w:p>
        </w:tc>
      </w:tr>
    </w:tbl>
    <w:p w14:paraId="521D4FD3"/>
    <w:p w14:paraId="0224A369">
      <w:pPr>
        <w:spacing w:before="0" w:after="0" w:line="400" w:lineRule="exact"/>
        <w:ind w:firstLine="480"/>
        <w:jc w:val="both"/>
      </w:pPr>
      <w:r>
        <w:rPr>
          <w:rFonts w:ascii="Times New Roman" w:hAnsi="Times New Roman" w:eastAsia="宋体"/>
          <w:b w:val="0"/>
          <w:sz w:val="24"/>
        </w:rPr>
        <w:t>判断矩阵的赋值以第三章的流程诊断发现为依据，结合集团运营管理人员的技术判断。例如，在准则层中，影响程度（C1）被赋予最高权重，因为瓶颈对整体流程的影响大小是决定改进优先级的最关键因素；预期效果（C4）和患者影响（C5）具有同等重要性，反映了本研究同时关注运营效率和患者体验的双重目标。</w:t>
      </w:r>
    </w:p>
    <w:p w14:paraId="127BCCFC">
      <w:pPr>
        <w:spacing w:before="240" w:after="120" w:line="240" w:lineRule="auto"/>
        <w:ind w:firstLine="480"/>
        <w:outlineLvl w:val="3"/>
      </w:pPr>
      <w:r>
        <w:rPr>
          <w:rFonts w:ascii="Times New Roman" w:hAnsi="Times New Roman" w:eastAsia="黑体"/>
          <w:b/>
          <w:sz w:val="24"/>
        </w:rPr>
        <w:t>（三）一致性检验方法</w:t>
      </w:r>
    </w:p>
    <w:p w14:paraId="6FF7B70F">
      <w:pPr>
        <w:spacing w:before="0" w:after="0" w:line="400" w:lineRule="exact"/>
        <w:ind w:firstLine="480"/>
        <w:jc w:val="both"/>
      </w:pPr>
      <w:r>
        <w:rPr>
          <w:rFonts w:ascii="Times New Roman" w:hAnsi="Times New Roman" w:eastAsia="宋体"/>
          <w:b w:val="0"/>
          <w:sz w:val="24"/>
        </w:rPr>
        <w:t>由于判断矩阵中的两两比较可能存在逻辑不一致（例如，A比B重要，B比C重要，但C又比A重要），需要对每个判断矩阵进行一致性检验。一致性检验通过计算一致性比率（Consistency Ratio，CR）来实现。</w:t>
      </w:r>
    </w:p>
    <w:p w14:paraId="61E0D910">
      <w:pPr>
        <w:spacing w:before="0" w:after="0" w:line="400" w:lineRule="exact"/>
        <w:ind w:firstLine="480"/>
        <w:jc w:val="both"/>
      </w:pPr>
      <w:r>
        <w:rPr>
          <w:rFonts w:ascii="Times New Roman" w:hAnsi="Times New Roman" w:eastAsia="宋体"/>
          <w:b w:val="0"/>
          <w:sz w:val="24"/>
        </w:rPr>
        <w:t>检验的计算链条并不复杂：先求出判断矩阵的最大特征值λmax，再计算一致性指标CI = (λmax - n) / (n - 1)（n为矩阵阶数），然后按矩阵阶数查找对应的随机一致性指标RI（n=5时，RI≈1.12），最后得到CR = CI / RI。CR &lt; 0.10，判断矩阵通过一致性检验，说明各评价者对因素相对重要性的判断没有明显的逻辑矛盾；CR ≥ 0.10，则需重新审视并修正矩阵中的赋值。</w:t>
      </w:r>
    </w:p>
    <w:p w14:paraId="730EC6CD">
      <w:pPr>
        <w:spacing w:before="240" w:after="120" w:line="240" w:lineRule="auto"/>
        <w:ind w:firstLine="480"/>
        <w:outlineLvl w:val="3"/>
      </w:pPr>
      <w:r>
        <w:rPr>
          <w:rFonts w:ascii="Times New Roman" w:hAnsi="Times New Roman" w:eastAsia="黑体"/>
          <w:b/>
          <w:sz w:val="24"/>
        </w:rPr>
        <w:t>（四）权重排序与优先级确定</w:t>
      </w:r>
    </w:p>
    <w:p w14:paraId="6BC5996A">
      <w:pPr>
        <w:spacing w:before="0" w:after="0" w:line="400" w:lineRule="exact"/>
        <w:ind w:firstLine="480"/>
        <w:jc w:val="both"/>
      </w:pPr>
      <w:r>
        <w:rPr>
          <w:rFonts w:ascii="Times New Roman" w:hAnsi="Times New Roman" w:eastAsia="宋体"/>
          <w:b w:val="0"/>
          <w:sz w:val="24"/>
        </w:rPr>
        <w:t>通过一致性检验后，计算判断矩阵的特征向量，归一化后得到各因素的权重值。各准则的权重记为w1, w2, w3, w4, w5。对于方案层的每个瓶颈环节，在五个准则下分别进行两两比较，计算出每个瓶颈环节在各准则下的得分，最终通过加权求和得出每个瓶颈环节的综合优先级得分。按综合得分降序排列，即为流程瓶颈的改进优先级排序。排序结果将为第四章第四节的优化方案设计提供资源分配和推进顺序的决策依据。</w:t>
      </w:r>
    </w:p>
    <w:p w14:paraId="29BBA203">
      <w:pPr>
        <w:spacing w:before="240" w:after="120" w:line="240" w:lineRule="auto"/>
        <w:ind w:firstLine="520"/>
        <w:outlineLvl w:val="2"/>
      </w:pPr>
      <w:bookmarkStart w:id="53" w:name="_Toc23114"/>
      <w:r>
        <w:rPr>
          <w:rFonts w:ascii="Times New Roman" w:hAnsi="Times New Roman" w:eastAsia="黑体"/>
          <w:b/>
          <w:sz w:val="26"/>
        </w:rPr>
        <w:t>三、服务蓝图法应用设计</w:t>
      </w:r>
      <w:bookmarkEnd w:id="53"/>
    </w:p>
    <w:p w14:paraId="558D4FF9">
      <w:pPr>
        <w:spacing w:before="0" w:after="0" w:line="400" w:lineRule="exact"/>
        <w:ind w:firstLine="480"/>
        <w:jc w:val="both"/>
      </w:pPr>
      <w:r>
        <w:rPr>
          <w:rFonts w:ascii="Times New Roman" w:hAnsi="Times New Roman" w:eastAsia="宋体"/>
          <w:b w:val="0"/>
          <w:sz w:val="24"/>
        </w:rPr>
        <w:t>服务蓝图（Service Blueprint）是一种用于可视化服务流程、揭示服务交互中多层级关系的工具（Shostack，1984）。服务蓝图将服务过程垂直分解为三个核心层次：患者行为层（前台）、可见的员工行为和技术系统层（后台）以及不可见的支持过程层（Bitner 等，2008）。</w:t>
      </w:r>
    </w:p>
    <w:p w14:paraId="3AE58CC9">
      <w:pPr>
        <w:spacing w:before="0" w:after="0" w:line="400" w:lineRule="exact"/>
        <w:ind w:firstLine="480"/>
        <w:jc w:val="both"/>
      </w:pPr>
      <w:r>
        <w:rPr>
          <w:rFonts w:ascii="Times New Roman" w:hAnsi="Times New Roman" w:eastAsia="宋体"/>
          <w:b w:val="0"/>
          <w:sz w:val="24"/>
        </w:rPr>
        <w:t>本研究将分别绘制现状服务蓝图和优化后服务蓝图。现状服务蓝图以第三章梳理的现有业务流程为基础，按照以下步骤构建。第一步，确定服务蓝图的范围——以"患者在线问诊→处方开具→检查→取药"这一核心服务链为建模范围。第二步，绘制患者行为层，标注患者在每个阶段的行为和体验。第三步，绘制后台操作层，标注医生、护士、药师、系统在后台的对应操作。第四步，绘制支持过程层，标注HIS系统、PACS系统、LIS系统、管理平台、物流系统等底层支持系统的数据流和交互关系。第五步，标注可视线（Line of Visibility）和互动线（Line of Interaction），区分患者可见与不可见的服务环节。第六步，基于第三章第四节的断点分析结果，在蓝图上用醒目标记标注流程断点的位置、类型和严重程度。</w:t>
      </w:r>
    </w:p>
    <w:p w14:paraId="4E4BA7BC">
      <w:pPr>
        <w:spacing w:before="0" w:after="0" w:line="400" w:lineRule="exact"/>
        <w:ind w:firstLine="480"/>
        <w:jc w:val="both"/>
      </w:pPr>
      <w:r>
        <w:rPr>
          <w:rFonts w:ascii="Times New Roman" w:hAnsi="Times New Roman" w:eastAsia="宋体"/>
          <w:b w:val="0"/>
          <w:sz w:val="24"/>
        </w:rPr>
        <w:t>优化后服务蓝图在第四章第四节优化方案设计完成后绘制，展示流程改进后的理想状态，并与现状蓝图对比分析，直观呈现优化的效果。</w:t>
      </w:r>
    </w:p>
    <w:p w14:paraId="2CB96A53">
      <w:pPr>
        <w:spacing w:before="240" w:after="120" w:line="240" w:lineRule="auto"/>
        <w:ind w:firstLine="520"/>
        <w:outlineLvl w:val="2"/>
      </w:pPr>
      <w:bookmarkStart w:id="54" w:name="_Toc27244"/>
      <w:r>
        <w:rPr>
          <w:rFonts w:ascii="Times New Roman" w:hAnsi="Times New Roman" w:eastAsia="黑体"/>
          <w:b/>
          <w:sz w:val="26"/>
        </w:rPr>
        <w:t>四、准实验设计</w:t>
      </w:r>
      <w:bookmarkEnd w:id="54"/>
    </w:p>
    <w:p w14:paraId="1BBB317B">
      <w:pPr>
        <w:spacing w:before="0" w:after="0" w:line="400" w:lineRule="exact"/>
        <w:ind w:firstLine="480"/>
        <w:jc w:val="both"/>
      </w:pPr>
      <w:r>
        <w:rPr>
          <w:rFonts w:ascii="Times New Roman" w:hAnsi="Times New Roman" w:eastAsia="宋体"/>
          <w:b w:val="0"/>
          <w:sz w:val="24"/>
        </w:rPr>
        <w:t>准实验（Quasi-experiment）是在无法进行严格随机对照实验的组织管理研究情境下，用于评估干预措施效果的研究设计（Shadish 等，2002）。本研究采用准实验方法，评估流程优化方案在试点院区实施后的实际效果。</w:t>
      </w:r>
    </w:p>
    <w:p w14:paraId="49F9354E">
      <w:pPr>
        <w:spacing w:before="0" w:after="0" w:line="400" w:lineRule="exact"/>
        <w:ind w:firstLine="480"/>
        <w:jc w:val="both"/>
      </w:pPr>
      <w:r>
        <w:rPr>
          <w:rFonts w:ascii="Times New Roman" w:hAnsi="Times New Roman" w:eastAsia="宋体"/>
          <w:b w:val="0"/>
          <w:sz w:val="24"/>
        </w:rPr>
        <w:t>本研究的准实验设计采用"前测—后测非等组设计"（Pretest-Posttest Nonequivalent Groups Design），具体方案如下。实验组选取A医药集团旗下的医院A作为试点院区——医院A是集团的</w:t>
      </w:r>
      <w:r>
        <w:rPr>
          <w:rFonts w:hint="eastAsia" w:ascii="Times New Roman" w:hAnsi="Times New Roman"/>
          <w:b w:val="0"/>
          <w:sz w:val="24"/>
          <w:lang w:eastAsia="zh-CN"/>
        </w:rPr>
        <w:t>标杆医院</w:t>
      </w:r>
      <w:r>
        <w:rPr>
          <w:rFonts w:ascii="Times New Roman" w:hAnsi="Times New Roman" w:eastAsia="宋体"/>
          <w:b w:val="0"/>
          <w:sz w:val="24"/>
        </w:rPr>
        <w:t>，在线服务量占比最高，代表性最强，且信息系统基础较好，具备实施优化方案的先决条件。对照组从医院B和医院C中选取状态最接近的院区，以确保两组在基线特征上的可比性。</w:t>
      </w:r>
    </w:p>
    <w:p w14:paraId="41AC22E6">
      <w:pPr>
        <w:spacing w:before="0" w:after="0" w:line="400" w:lineRule="exact"/>
        <w:ind w:firstLine="480"/>
        <w:jc w:val="both"/>
      </w:pPr>
      <w:r>
        <w:rPr>
          <w:rFonts w:ascii="Times New Roman" w:hAnsi="Times New Roman" w:eastAsia="宋体"/>
          <w:b w:val="0"/>
          <w:sz w:val="24"/>
        </w:rPr>
        <w:t>测量时间窗口分为前测期和后测期。前测期为优化实施前三个月（2025年12月至2026年2月），用于建立优化前的关键绩效指标基线。后测期为优化实施后三个月（2026年3月至5月，假设3月初完成方案部署），用于收集优化后的对比数据。选择三个月的时间窗口是为了确保足够的样本量，同时平滑短期波动的影响。</w:t>
      </w:r>
    </w:p>
    <w:p w14:paraId="7EF361FE">
      <w:pPr>
        <w:spacing w:before="0" w:after="0" w:line="400" w:lineRule="exact"/>
        <w:ind w:firstLine="480"/>
        <w:jc w:val="both"/>
      </w:pPr>
      <w:r>
        <w:rPr>
          <w:rFonts w:ascii="Times New Roman" w:hAnsi="Times New Roman" w:eastAsia="宋体"/>
          <w:b w:val="0"/>
          <w:sz w:val="24"/>
        </w:rPr>
        <w:t>评估指标覆盖流程效率、服务质量和患者体验三个维度。流程效率指标包括平均问诊响应时间、处方从开具到审核完成的平均流转时长、检查从申请到完成的平均周期、药品从处方审核通过到患者取药/签收的平均时长。服务质量指标包括处方合格率（通过AI审核的比例）、患者复诊转化率、各环节流失率。患者体验指标通过平台内置的满意度评分和投诉率来衡量。</w:t>
      </w:r>
    </w:p>
    <w:p w14:paraId="43A74008">
      <w:pPr>
        <w:spacing w:before="0" w:after="0" w:line="400" w:lineRule="exact"/>
        <w:ind w:firstLine="480"/>
        <w:jc w:val="both"/>
      </w:pPr>
      <w:r>
        <w:rPr>
          <w:rFonts w:ascii="Times New Roman" w:hAnsi="Times New Roman" w:eastAsia="宋体"/>
          <w:b w:val="0"/>
          <w:sz w:val="24"/>
        </w:rPr>
        <w:t>数据分析方法采用双重差分法（Difference-in-Differences，DID），以控制试点院区和对照院区在优化前可能存在的时间趋势差异。设定分组虚拟变量（实验组=1，对照组=0）和时间虚拟变量（后测期=1，前测期=0），DID估计量即为实验组前后变化与对照组前后变化的差异。该估计量反映了在控制了时间趋势和其他共同因素后，流程优化方案的净效果。统计分析使用Python的statsmodels库完成。</w:t>
      </w:r>
    </w:p>
    <w:p w14:paraId="6A23E8FB">
      <w:pPr>
        <w:spacing w:before="0" w:after="0" w:line="400" w:lineRule="exact"/>
        <w:ind w:firstLine="480"/>
        <w:jc w:val="both"/>
      </w:pPr>
      <w:r>
        <w:rPr>
          <w:rFonts w:ascii="Times New Roman" w:hAnsi="Times New Roman" w:eastAsia="宋体"/>
          <w:b w:val="0"/>
          <w:sz w:val="24"/>
        </w:rPr>
        <w:t>这套准实验设计能够落地，有几个前提撑着。A医药集团互联网医院平台已积累48个月（2022年6月至2026年5月）的连续运营数据，前测基线的样本量足够；医院A的管理层对流程优化试点表示支持，实施阻力因此小得多；平台的数据采集机制能持续记录试点期间的所有业务事件，评估数据不会断档；而选择医院B或C作为对照组，可以把季节效应、政策变化等共同因素的影响控制住了。</w:t>
      </w:r>
    </w:p>
    <w:p w14:paraId="32C498B7">
      <w:pPr>
        <w:spacing w:before="0" w:after="0" w:line="400" w:lineRule="exact"/>
        <w:ind w:firstLine="480"/>
        <w:jc w:val="both"/>
      </w:pPr>
      <w:r>
        <w:rPr>
          <w:rFonts w:ascii="Times New Roman" w:hAnsi="Times New Roman" w:eastAsia="宋体"/>
          <w:b w:val="0"/>
          <w:sz w:val="24"/>
        </w:rPr>
        <w:t>在准实验设计的局限性方面，需要承认的是：由于无法进行严格的随机分配，组间可能在不可观测特征上存在差异；试点院区的选择可能受到管理层意愿的影响（非随机选择），存在一定的选择偏差；三个月的后测期对于某些渐进性的效果（如患者口碑传播和长期复诊行为变化）可能不够长。这些局限性将在第五章第三节的研究局限部分做进一步讨论。</w:t>
      </w:r>
    </w:p>
    <w:p w14:paraId="34652A4F">
      <w:pPr>
        <w:spacing w:before="480" w:after="120" w:line="240" w:lineRule="auto"/>
        <w:jc w:val="center"/>
        <w:outlineLvl w:val="1"/>
      </w:pPr>
      <w:bookmarkStart w:id="55" w:name="_Toc15076"/>
      <w:r>
        <w:rPr>
          <w:rFonts w:ascii="Times New Roman" w:hAnsi="Times New Roman" w:eastAsia="黑体"/>
          <w:b/>
          <w:sz w:val="28"/>
        </w:rPr>
        <w:t>第二节　数据分析与流程诊断</w:t>
      </w:r>
      <w:bookmarkEnd w:id="55"/>
    </w:p>
    <w:p w14:paraId="444BEDC6">
      <w:pPr>
        <w:spacing w:before="0" w:after="0" w:line="400" w:lineRule="exact"/>
        <w:ind w:firstLine="480"/>
        <w:jc w:val="both"/>
      </w:pPr>
      <w:r>
        <w:rPr>
          <w:rFonts w:ascii="Times New Roman" w:hAnsi="Times New Roman" w:eastAsia="宋体"/>
          <w:b w:val="0"/>
          <w:sz w:val="24"/>
        </w:rPr>
        <w:t>本节基于A医药集团统一管理平台提取的1150万条事件日志数据，运用过程分析法进行流程发现和瓶颈诊断，为后续的优化方案设计提供定量依据。</w:t>
      </w:r>
    </w:p>
    <w:p w14:paraId="55C323AD">
      <w:pPr>
        <w:spacing w:before="240" w:after="120" w:line="240" w:lineRule="auto"/>
        <w:ind w:firstLine="520"/>
        <w:outlineLvl w:val="2"/>
      </w:pPr>
      <w:bookmarkStart w:id="56" w:name="_Toc5396"/>
      <w:r>
        <w:rPr>
          <w:rFonts w:ascii="Times New Roman" w:hAnsi="Times New Roman" w:eastAsia="黑体"/>
          <w:b/>
          <w:sz w:val="26"/>
        </w:rPr>
        <w:t>一、事件日志数据概览</w:t>
      </w:r>
      <w:bookmarkEnd w:id="56"/>
    </w:p>
    <w:p w14:paraId="77DE0302">
      <w:pPr>
        <w:spacing w:before="240" w:after="120" w:line="240" w:lineRule="auto"/>
        <w:ind w:firstLine="480"/>
        <w:outlineLvl w:val="3"/>
      </w:pPr>
      <w:r>
        <w:rPr>
          <w:rFonts w:ascii="Times New Roman" w:hAnsi="Times New Roman" w:eastAsia="黑体"/>
          <w:b/>
          <w:sz w:val="24"/>
        </w:rPr>
        <w:t>（一）数据总量与时间跨度</w:t>
      </w:r>
    </w:p>
    <w:p w14:paraId="4BE282AE">
      <w:pPr>
        <w:spacing w:before="0" w:after="0" w:line="400" w:lineRule="exact"/>
        <w:ind w:firstLine="480"/>
        <w:jc w:val="both"/>
      </w:pPr>
      <w:r>
        <w:rPr>
          <w:rFonts w:ascii="Times New Roman" w:hAnsi="Times New Roman" w:eastAsia="宋体"/>
          <w:b w:val="0"/>
          <w:sz w:val="24"/>
        </w:rPr>
        <w:t>如表4.4所示，本研究所用数据集覆盖2022年6月至2026年5月（48个月），总计1150万条事件记录。年度分布一路上行：2022年下半年约40万条（月均约5.7万条），2023年约160万条（月均约13万条），2024年约300万条（月均约25万条），2025年约440万条（月均约37万条），2026年1-5月约210万条（月均约42万条）——平台用户活跃度在持续提升。季度分布还有一个小规律：每年第一和第四季度的月均事件量略高于第二和第三季度，这与呼吸道疾病等季节性高发疾病的就诊规律吻合。</w:t>
      </w:r>
    </w:p>
    <w:p w14:paraId="7ADDDC7C">
      <w:pPr>
        <w:jc w:val="center"/>
      </w:pPr>
      <w:r>
        <w:drawing>
          <wp:inline distT="0" distB="0" distL="114300" distR="114300">
            <wp:extent cx="5039995" cy="2805430"/>
            <wp:effectExtent l="0" t="0" r="13335" b="133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21"/>
                    <a:stretch>
                      <a:fillRect/>
                    </a:stretch>
                  </pic:blipFill>
                  <pic:spPr>
                    <a:xfrm>
                      <a:off x="0" y="0"/>
                      <a:ext cx="5040000" cy="2805600"/>
                    </a:xfrm>
                    <a:prstGeom prst="rect">
                      <a:avLst/>
                    </a:prstGeom>
                  </pic:spPr>
                </pic:pic>
              </a:graphicData>
            </a:graphic>
          </wp:inline>
        </w:drawing>
      </w:r>
    </w:p>
    <w:p w14:paraId="38305BEE">
      <w:pPr>
        <w:spacing w:before="0" w:after="0" w:line="400" w:lineRule="exact"/>
        <w:ind w:firstLine="480"/>
        <w:jc w:val="both"/>
      </w:pPr>
      <w:r>
        <w:rPr>
          <w:rFonts w:ascii="Times New Roman" w:hAnsi="Times New Roman" w:eastAsia="宋体"/>
          <w:b w:val="0"/>
          <w:sz w:val="24"/>
        </w:rPr>
        <w:t>图4.2 事件日志数据概览</w:t>
      </w:r>
    </w:p>
    <w:p w14:paraId="08070C3B">
      <w:pPr>
        <w:spacing w:before="120" w:after="120" w:line="240" w:lineRule="auto"/>
        <w:jc w:val="center"/>
      </w:pPr>
      <w:r>
        <w:rPr>
          <w:rFonts w:ascii="Times New Roman" w:hAnsi="Times New Roman" w:eastAsia="宋体"/>
          <w:b w:val="0"/>
          <w:sz w:val="21"/>
        </w:rPr>
        <w:t>表4.4　事件日志数据概览</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2E2B002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4BD211D6">
            <w:pPr>
              <w:jc w:val="center"/>
            </w:pPr>
            <w:r>
              <w:rPr>
                <w:rFonts w:ascii="Times New Roman" w:hAnsi="Times New Roman" w:eastAsia="宋体"/>
                <w:b/>
                <w:sz w:val="20"/>
              </w:rPr>
              <w:t>维度</w:t>
            </w:r>
          </w:p>
        </w:tc>
        <w:tc>
          <w:tcPr>
            <w:tcW w:w="2871" w:type="dxa"/>
            <w:tcBorders>
              <w:bottom w:val="single" w:color="000000" w:sz="12" w:space="0"/>
            </w:tcBorders>
          </w:tcPr>
          <w:p w14:paraId="08EDDC35">
            <w:pPr>
              <w:jc w:val="center"/>
            </w:pPr>
            <w:r>
              <w:rPr>
                <w:rFonts w:ascii="Times New Roman" w:hAnsi="Times New Roman" w:eastAsia="宋体"/>
                <w:b/>
                <w:sz w:val="20"/>
              </w:rPr>
              <w:t>统计值</w:t>
            </w:r>
          </w:p>
        </w:tc>
        <w:tc>
          <w:tcPr>
            <w:tcW w:w="2871" w:type="dxa"/>
            <w:tcBorders>
              <w:bottom w:val="single" w:color="000000" w:sz="12" w:space="0"/>
            </w:tcBorders>
          </w:tcPr>
          <w:p w14:paraId="57EDAAF2">
            <w:pPr>
              <w:jc w:val="center"/>
            </w:pPr>
            <w:r>
              <w:rPr>
                <w:rFonts w:ascii="Times New Roman" w:hAnsi="Times New Roman" w:eastAsia="宋体"/>
                <w:b/>
                <w:sz w:val="20"/>
              </w:rPr>
              <w:t>说明</w:t>
            </w:r>
          </w:p>
        </w:tc>
      </w:tr>
      <w:tr w14:paraId="008267E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8EEF752">
            <w:r>
              <w:rPr>
                <w:rFonts w:ascii="Times New Roman" w:hAnsi="Times New Roman" w:eastAsia="宋体"/>
                <w:sz w:val="20"/>
              </w:rPr>
              <w:t>总事件记录数</w:t>
            </w:r>
          </w:p>
        </w:tc>
        <w:tc>
          <w:tcPr>
            <w:tcW w:w="2871" w:type="dxa"/>
          </w:tcPr>
          <w:p w14:paraId="05E2D279">
            <w:r>
              <w:rPr>
                <w:rFonts w:ascii="Times New Roman" w:hAnsi="Times New Roman" w:eastAsia="宋体"/>
                <w:sz w:val="20"/>
              </w:rPr>
              <w:t>1150万条</w:t>
            </w:r>
          </w:p>
        </w:tc>
        <w:tc>
          <w:tcPr>
            <w:tcW w:w="2871" w:type="dxa"/>
          </w:tcPr>
          <w:p w14:paraId="5F86214C">
            <w:r>
              <w:rPr>
                <w:rFonts w:ascii="Times New Roman" w:hAnsi="Times New Roman" w:eastAsia="宋体"/>
                <w:sz w:val="20"/>
              </w:rPr>
              <w:t>覆盖2022.06-2026.05</w:t>
            </w:r>
          </w:p>
        </w:tc>
      </w:tr>
      <w:tr w14:paraId="377F8ED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15CD035">
            <w:r>
              <w:rPr>
                <w:rFonts w:ascii="Times New Roman" w:hAnsi="Times New Roman" w:eastAsia="宋体"/>
                <w:sz w:val="20"/>
              </w:rPr>
              <w:t>唯一案例数</w:t>
            </w:r>
          </w:p>
        </w:tc>
        <w:tc>
          <w:tcPr>
            <w:tcW w:w="2871" w:type="dxa"/>
          </w:tcPr>
          <w:p w14:paraId="010E99E4">
            <w:r>
              <w:rPr>
                <w:rFonts w:ascii="Times New Roman" w:hAnsi="Times New Roman" w:eastAsia="宋体"/>
                <w:sz w:val="20"/>
              </w:rPr>
              <w:t>约150万个</w:t>
            </w:r>
          </w:p>
        </w:tc>
        <w:tc>
          <w:tcPr>
            <w:tcW w:w="2871" w:type="dxa"/>
          </w:tcPr>
          <w:p w14:paraId="3E76F933">
            <w:r>
              <w:rPr>
                <w:rFonts w:ascii="Times New Roman" w:hAnsi="Times New Roman" w:eastAsia="宋体"/>
                <w:sz w:val="20"/>
              </w:rPr>
              <w:t>即完成的就诊流程数</w:t>
            </w:r>
          </w:p>
        </w:tc>
      </w:tr>
      <w:tr w14:paraId="7D5F2E3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7373B31">
            <w:r>
              <w:rPr>
                <w:rFonts w:ascii="Times New Roman" w:hAnsi="Times New Roman" w:eastAsia="宋体"/>
                <w:sz w:val="20"/>
              </w:rPr>
              <w:t>唯一事件类型数</w:t>
            </w:r>
          </w:p>
        </w:tc>
        <w:tc>
          <w:tcPr>
            <w:tcW w:w="2871" w:type="dxa"/>
          </w:tcPr>
          <w:p w14:paraId="3D3D57BF">
            <w:r>
              <w:rPr>
                <w:rFonts w:ascii="Times New Roman" w:hAnsi="Times New Roman" w:eastAsia="宋体"/>
                <w:sz w:val="20"/>
              </w:rPr>
              <w:t>12种</w:t>
            </w:r>
          </w:p>
        </w:tc>
        <w:tc>
          <w:tcPr>
            <w:tcW w:w="2871" w:type="dxa"/>
          </w:tcPr>
          <w:p w14:paraId="7A4B25CC">
            <w:r>
              <w:rPr>
                <w:rFonts w:ascii="Times New Roman" w:hAnsi="Times New Roman" w:eastAsia="宋体"/>
                <w:sz w:val="20"/>
              </w:rPr>
              <w:t>问诊/处方/检查申请/检查完成/取药等</w:t>
            </w:r>
          </w:p>
        </w:tc>
      </w:tr>
      <w:tr w14:paraId="2F9C720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D7324D5">
            <w:r>
              <w:rPr>
                <w:rFonts w:ascii="Times New Roman" w:hAnsi="Times New Roman" w:eastAsia="宋体"/>
                <w:sz w:val="20"/>
              </w:rPr>
              <w:t>覆盖院区数</w:t>
            </w:r>
          </w:p>
        </w:tc>
        <w:tc>
          <w:tcPr>
            <w:tcW w:w="2871" w:type="dxa"/>
          </w:tcPr>
          <w:p w14:paraId="4F5BE6D0">
            <w:r>
              <w:rPr>
                <w:rFonts w:ascii="Times New Roman" w:hAnsi="Times New Roman" w:eastAsia="宋体"/>
                <w:sz w:val="20"/>
              </w:rPr>
              <w:t>5个</w:t>
            </w:r>
          </w:p>
        </w:tc>
        <w:tc>
          <w:tcPr>
            <w:tcW w:w="2871" w:type="dxa"/>
          </w:tcPr>
          <w:p w14:paraId="1B993DE3">
            <w:r>
              <w:rPr>
                <w:rFonts w:ascii="Times New Roman" w:hAnsi="Times New Roman" w:eastAsia="宋体"/>
                <w:sz w:val="20"/>
              </w:rPr>
              <w:t>医院A/B/C/D/E</w:t>
            </w:r>
          </w:p>
        </w:tc>
      </w:tr>
      <w:tr w14:paraId="35C2B86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76ADACF">
            <w:r>
              <w:rPr>
                <w:rFonts w:ascii="Times New Roman" w:hAnsi="Times New Roman" w:eastAsia="宋体"/>
                <w:sz w:val="20"/>
              </w:rPr>
              <w:t>覆盖科室数</w:t>
            </w:r>
          </w:p>
        </w:tc>
        <w:tc>
          <w:tcPr>
            <w:tcW w:w="2871" w:type="dxa"/>
          </w:tcPr>
          <w:p w14:paraId="226B707D">
            <w:r>
              <w:rPr>
                <w:rFonts w:ascii="Times New Roman" w:hAnsi="Times New Roman" w:eastAsia="宋体"/>
                <w:sz w:val="20"/>
              </w:rPr>
              <w:t>32个</w:t>
            </w:r>
          </w:p>
        </w:tc>
        <w:tc>
          <w:tcPr>
            <w:tcW w:w="2871" w:type="dxa"/>
          </w:tcPr>
          <w:p w14:paraId="333D8981">
            <w:r>
              <w:rPr>
                <w:rFonts w:ascii="Times New Roman" w:hAnsi="Times New Roman" w:eastAsia="宋体"/>
                <w:sz w:val="20"/>
              </w:rPr>
              <w:t>全院上线科室</w:t>
            </w:r>
          </w:p>
        </w:tc>
      </w:tr>
      <w:tr w14:paraId="043AA94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15B043ED">
            <w:r>
              <w:rPr>
                <w:rFonts w:ascii="Times New Roman" w:hAnsi="Times New Roman" w:eastAsia="宋体"/>
                <w:sz w:val="20"/>
              </w:rPr>
              <w:t>月均事件量</w:t>
            </w:r>
          </w:p>
        </w:tc>
        <w:tc>
          <w:tcPr>
            <w:tcW w:w="2871" w:type="dxa"/>
          </w:tcPr>
          <w:p w14:paraId="7F8D564F">
            <w:r>
              <w:rPr>
                <w:rFonts w:ascii="Times New Roman" w:hAnsi="Times New Roman" w:eastAsia="宋体"/>
                <w:sz w:val="20"/>
              </w:rPr>
              <w:t>约24万条</w:t>
            </w:r>
          </w:p>
        </w:tc>
        <w:tc>
          <w:tcPr>
            <w:tcW w:w="2871" w:type="dxa"/>
          </w:tcPr>
          <w:p w14:paraId="75CFA54A">
            <w:r>
              <w:rPr>
                <w:rFonts w:ascii="Times New Roman" w:hAnsi="Times New Roman" w:eastAsia="宋体"/>
                <w:sz w:val="20"/>
              </w:rPr>
              <w:t>2022年下半年月均5.7万→2026年月均42万</w:t>
            </w:r>
          </w:p>
        </w:tc>
      </w:tr>
    </w:tbl>
    <w:p w14:paraId="2AF10314"/>
    <w:p w14:paraId="3EA199AD">
      <w:pPr>
        <w:spacing w:before="240" w:after="120" w:line="240" w:lineRule="auto"/>
        <w:ind w:firstLine="480"/>
        <w:outlineLvl w:val="3"/>
      </w:pPr>
      <w:r>
        <w:rPr>
          <w:rFonts w:ascii="Times New Roman" w:hAnsi="Times New Roman" w:eastAsia="黑体"/>
          <w:b/>
          <w:sz w:val="24"/>
        </w:rPr>
        <w:t>（二）事件类型与院区分布</w:t>
      </w:r>
    </w:p>
    <w:p w14:paraId="2DFF839E">
      <w:pPr>
        <w:spacing w:before="0" w:after="0" w:line="400" w:lineRule="exact"/>
        <w:ind w:firstLine="480"/>
        <w:jc w:val="both"/>
      </w:pPr>
      <w:r>
        <w:rPr>
          <w:rFonts w:ascii="Times New Roman" w:hAnsi="Times New Roman" w:eastAsia="宋体"/>
          <w:b w:val="0"/>
          <w:sz w:val="24"/>
        </w:rPr>
        <w:t>各事件类型的分布比例如表4.5所示。问诊类事件（含图文问诊、语音问诊、视频问诊）占比最高，达37.8%；处方类事件（处方开具、处方审核）占24.5%；检查类事件（检查申请、检查完成）占19.6%；取药类事件占12.3%；其他事件（取消、退费等）占5.8%。这一分布格局反映了在线问诊作为平台核心服务入口的功能定位。</w:t>
      </w:r>
    </w:p>
    <w:p w14:paraId="39CD638A">
      <w:pPr>
        <w:spacing w:before="120" w:after="120" w:line="240" w:lineRule="auto"/>
        <w:jc w:val="center"/>
      </w:pPr>
      <w:r>
        <w:rPr>
          <w:rFonts w:ascii="Times New Roman" w:hAnsi="Times New Roman" w:eastAsia="宋体"/>
          <w:b w:val="0"/>
          <w:sz w:val="21"/>
        </w:rPr>
        <w:t>表4.5　事件类型分布</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0B58E92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32B286C1">
            <w:pPr>
              <w:jc w:val="center"/>
            </w:pPr>
            <w:r>
              <w:rPr>
                <w:rFonts w:ascii="Times New Roman" w:hAnsi="Times New Roman" w:eastAsia="宋体"/>
                <w:b/>
                <w:sz w:val="20"/>
              </w:rPr>
              <w:t>事件类型</w:t>
            </w:r>
          </w:p>
        </w:tc>
        <w:tc>
          <w:tcPr>
            <w:tcW w:w="2871" w:type="dxa"/>
            <w:tcBorders>
              <w:bottom w:val="single" w:color="000000" w:sz="12" w:space="0"/>
            </w:tcBorders>
          </w:tcPr>
          <w:p w14:paraId="07EA7DA9">
            <w:pPr>
              <w:jc w:val="center"/>
            </w:pPr>
            <w:r>
              <w:rPr>
                <w:rFonts w:ascii="Times New Roman" w:hAnsi="Times New Roman" w:eastAsia="宋体"/>
                <w:b/>
                <w:sz w:val="20"/>
              </w:rPr>
              <w:t>记录数</w:t>
            </w:r>
          </w:p>
        </w:tc>
        <w:tc>
          <w:tcPr>
            <w:tcW w:w="2871" w:type="dxa"/>
            <w:tcBorders>
              <w:bottom w:val="single" w:color="000000" w:sz="12" w:space="0"/>
            </w:tcBorders>
          </w:tcPr>
          <w:p w14:paraId="112AFEAE">
            <w:pPr>
              <w:jc w:val="center"/>
            </w:pPr>
            <w:r>
              <w:rPr>
                <w:rFonts w:ascii="Times New Roman" w:hAnsi="Times New Roman" w:eastAsia="宋体"/>
                <w:b/>
                <w:sz w:val="20"/>
              </w:rPr>
              <w:t>占比</w:t>
            </w:r>
          </w:p>
        </w:tc>
      </w:tr>
      <w:tr w14:paraId="05D5EEA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4F8E30A0">
            <w:r>
              <w:rPr>
                <w:rFonts w:ascii="Times New Roman" w:hAnsi="Times New Roman" w:eastAsia="宋体"/>
                <w:sz w:val="20"/>
              </w:rPr>
              <w:t>问诊类</w:t>
            </w:r>
          </w:p>
        </w:tc>
        <w:tc>
          <w:tcPr>
            <w:tcW w:w="2871" w:type="dxa"/>
          </w:tcPr>
          <w:p w14:paraId="458E9D65">
            <w:r>
              <w:rPr>
                <w:rFonts w:ascii="Times New Roman" w:hAnsi="Times New Roman" w:eastAsia="宋体"/>
                <w:sz w:val="20"/>
              </w:rPr>
              <w:t>434.7万</w:t>
            </w:r>
          </w:p>
        </w:tc>
        <w:tc>
          <w:tcPr>
            <w:tcW w:w="2871" w:type="dxa"/>
          </w:tcPr>
          <w:p w14:paraId="7F901256">
            <w:r>
              <w:rPr>
                <w:rFonts w:ascii="Times New Roman" w:hAnsi="Times New Roman" w:eastAsia="宋体"/>
                <w:sz w:val="20"/>
              </w:rPr>
              <w:t>37.8%</w:t>
            </w:r>
          </w:p>
        </w:tc>
      </w:tr>
      <w:tr w14:paraId="627800F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76F2D77">
            <w:r>
              <w:rPr>
                <w:rFonts w:ascii="Times New Roman" w:hAnsi="Times New Roman" w:eastAsia="宋体"/>
                <w:sz w:val="20"/>
              </w:rPr>
              <w:t>处方类</w:t>
            </w:r>
          </w:p>
        </w:tc>
        <w:tc>
          <w:tcPr>
            <w:tcW w:w="2871" w:type="dxa"/>
          </w:tcPr>
          <w:p w14:paraId="1BB718F8">
            <w:r>
              <w:rPr>
                <w:rFonts w:ascii="Times New Roman" w:hAnsi="Times New Roman" w:eastAsia="宋体"/>
                <w:sz w:val="20"/>
              </w:rPr>
              <w:t>281.75万</w:t>
            </w:r>
          </w:p>
        </w:tc>
        <w:tc>
          <w:tcPr>
            <w:tcW w:w="2871" w:type="dxa"/>
          </w:tcPr>
          <w:p w14:paraId="45E53FF9">
            <w:r>
              <w:rPr>
                <w:rFonts w:ascii="Times New Roman" w:hAnsi="Times New Roman" w:eastAsia="宋体"/>
                <w:sz w:val="20"/>
              </w:rPr>
              <w:t>24.5%</w:t>
            </w:r>
          </w:p>
        </w:tc>
      </w:tr>
      <w:tr w14:paraId="1E6E843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F5C758F">
            <w:r>
              <w:rPr>
                <w:rFonts w:ascii="Times New Roman" w:hAnsi="Times New Roman" w:eastAsia="宋体"/>
                <w:sz w:val="20"/>
              </w:rPr>
              <w:t>检查类</w:t>
            </w:r>
          </w:p>
        </w:tc>
        <w:tc>
          <w:tcPr>
            <w:tcW w:w="2871" w:type="dxa"/>
          </w:tcPr>
          <w:p w14:paraId="51480EF9">
            <w:r>
              <w:rPr>
                <w:rFonts w:ascii="Times New Roman" w:hAnsi="Times New Roman" w:eastAsia="宋体"/>
                <w:sz w:val="20"/>
              </w:rPr>
              <w:t>225.4万</w:t>
            </w:r>
          </w:p>
        </w:tc>
        <w:tc>
          <w:tcPr>
            <w:tcW w:w="2871" w:type="dxa"/>
          </w:tcPr>
          <w:p w14:paraId="1B545171">
            <w:r>
              <w:rPr>
                <w:rFonts w:ascii="Times New Roman" w:hAnsi="Times New Roman" w:eastAsia="宋体"/>
                <w:sz w:val="20"/>
              </w:rPr>
              <w:t>19.6%</w:t>
            </w:r>
          </w:p>
        </w:tc>
      </w:tr>
      <w:tr w14:paraId="7B4C25C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27DD11E">
            <w:r>
              <w:rPr>
                <w:rFonts w:ascii="Times New Roman" w:hAnsi="Times New Roman" w:eastAsia="宋体"/>
                <w:sz w:val="20"/>
              </w:rPr>
              <w:t>取药类</w:t>
            </w:r>
          </w:p>
        </w:tc>
        <w:tc>
          <w:tcPr>
            <w:tcW w:w="2871" w:type="dxa"/>
          </w:tcPr>
          <w:p w14:paraId="68EE1AE7">
            <w:r>
              <w:rPr>
                <w:rFonts w:ascii="Times New Roman" w:hAnsi="Times New Roman" w:eastAsia="宋体"/>
                <w:sz w:val="20"/>
              </w:rPr>
              <w:t>141.45万</w:t>
            </w:r>
          </w:p>
        </w:tc>
        <w:tc>
          <w:tcPr>
            <w:tcW w:w="2871" w:type="dxa"/>
          </w:tcPr>
          <w:p w14:paraId="4431974C">
            <w:r>
              <w:rPr>
                <w:rFonts w:ascii="Times New Roman" w:hAnsi="Times New Roman" w:eastAsia="宋体"/>
                <w:sz w:val="20"/>
              </w:rPr>
              <w:t>12.3%</w:t>
            </w:r>
          </w:p>
        </w:tc>
      </w:tr>
      <w:tr w14:paraId="5466F3A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7DDD8F14">
            <w:r>
              <w:rPr>
                <w:rFonts w:ascii="Times New Roman" w:hAnsi="Times New Roman" w:eastAsia="宋体"/>
                <w:sz w:val="20"/>
              </w:rPr>
              <w:t>其他</w:t>
            </w:r>
          </w:p>
        </w:tc>
        <w:tc>
          <w:tcPr>
            <w:tcW w:w="2871" w:type="dxa"/>
          </w:tcPr>
          <w:p w14:paraId="4932C313">
            <w:r>
              <w:rPr>
                <w:rFonts w:ascii="Times New Roman" w:hAnsi="Times New Roman" w:eastAsia="宋体"/>
                <w:sz w:val="20"/>
              </w:rPr>
              <w:t>66.7万</w:t>
            </w:r>
          </w:p>
        </w:tc>
        <w:tc>
          <w:tcPr>
            <w:tcW w:w="2871" w:type="dxa"/>
          </w:tcPr>
          <w:p w14:paraId="36F7B5F0">
            <w:r>
              <w:rPr>
                <w:rFonts w:ascii="Times New Roman" w:hAnsi="Times New Roman" w:eastAsia="宋体"/>
                <w:sz w:val="20"/>
              </w:rPr>
              <w:t>5.8%</w:t>
            </w:r>
          </w:p>
        </w:tc>
      </w:tr>
      <w:tr w14:paraId="02753A1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3F3BB58B">
            <w:pPr>
              <w:rPr>
                <w:rFonts w:hint="eastAsia" w:eastAsia="宋体"/>
                <w:lang w:eastAsia="zh-CN"/>
              </w:rPr>
            </w:pPr>
            <w:r>
              <w:rPr>
                <w:rFonts w:ascii="Times New Roman" w:hAnsi="Times New Roman" w:eastAsia="宋体"/>
                <w:sz w:val="20"/>
              </w:rPr>
              <w:t>合计</w:t>
            </w:r>
          </w:p>
        </w:tc>
        <w:tc>
          <w:tcPr>
            <w:tcW w:w="2871" w:type="dxa"/>
          </w:tcPr>
          <w:p w14:paraId="56934193">
            <w:pPr>
              <w:rPr>
                <w:rFonts w:hint="eastAsia" w:eastAsia="宋体"/>
                <w:lang w:eastAsia="zh-CN"/>
              </w:rPr>
            </w:pPr>
            <w:r>
              <w:rPr>
                <w:rFonts w:ascii="Times New Roman" w:hAnsi="Times New Roman" w:eastAsia="宋体"/>
                <w:sz w:val="20"/>
              </w:rPr>
              <w:t>1150万</w:t>
            </w:r>
          </w:p>
        </w:tc>
        <w:tc>
          <w:tcPr>
            <w:tcW w:w="2871" w:type="dxa"/>
          </w:tcPr>
          <w:p w14:paraId="3966D2CC">
            <w:pPr>
              <w:rPr>
                <w:rFonts w:hint="eastAsia" w:eastAsia="宋体"/>
                <w:lang w:eastAsia="zh-CN"/>
              </w:rPr>
            </w:pPr>
            <w:r>
              <w:rPr>
                <w:rFonts w:ascii="Times New Roman" w:hAnsi="Times New Roman" w:eastAsia="宋体"/>
                <w:sz w:val="20"/>
              </w:rPr>
              <w:t>100%</w:t>
            </w:r>
          </w:p>
        </w:tc>
      </w:tr>
    </w:tbl>
    <w:p w14:paraId="55A1B660"/>
    <w:p w14:paraId="63C72ACF">
      <w:pPr>
        <w:spacing w:before="0" w:after="0" w:line="400" w:lineRule="exact"/>
        <w:ind w:firstLine="480"/>
        <w:jc w:val="both"/>
      </w:pPr>
      <w:r>
        <w:rPr>
          <w:rFonts w:ascii="Times New Roman" w:hAnsi="Times New Roman" w:eastAsia="宋体"/>
          <w:b w:val="0"/>
          <w:sz w:val="24"/>
        </w:rPr>
        <w:t>院区分布同样不均：医院A的事件量占比最高（45.2%），医院B（21.3%）、医院C（18.5%）紧随其后，医院D（9.2%）和医院E（5.8%）垫底（医院D、E于2024年接入，窗口期内占比自然偏低）。这一格局与各医院的体量和服务能力基本对应，但医院A一家占了接近一半，医院D和医院E合计不足15%，说明平台服务在不同院区之间的渗透程度差距不小。</w:t>
      </w:r>
    </w:p>
    <w:p w14:paraId="06DE86F9">
      <w:pPr>
        <w:spacing w:before="240" w:after="120" w:line="240" w:lineRule="auto"/>
        <w:ind w:firstLine="520"/>
        <w:outlineLvl w:val="2"/>
      </w:pPr>
      <w:bookmarkStart w:id="57" w:name="_Toc31023"/>
      <w:r>
        <w:rPr>
          <w:rFonts w:ascii="Times New Roman" w:hAnsi="Times New Roman" w:eastAsia="黑体"/>
          <w:b/>
          <w:sz w:val="26"/>
        </w:rPr>
        <w:t>二、基于Process Mining的流程发现</w:t>
      </w:r>
      <w:bookmarkEnd w:id="57"/>
    </w:p>
    <w:p w14:paraId="74B27DD0">
      <w:pPr>
        <w:spacing w:before="240" w:after="120" w:line="240" w:lineRule="auto"/>
        <w:ind w:firstLine="480"/>
        <w:outlineLvl w:val="3"/>
      </w:pPr>
      <w:r>
        <w:rPr>
          <w:rFonts w:ascii="Times New Roman" w:hAnsi="Times New Roman" w:eastAsia="黑体"/>
          <w:b/>
          <w:sz w:val="24"/>
        </w:rPr>
        <w:t>（一）实际流程模型生成</w:t>
      </w:r>
    </w:p>
    <w:p w14:paraId="73F0058D">
      <w:pPr>
        <w:jc w:val="center"/>
      </w:pPr>
      <w:r>
        <w:drawing>
          <wp:inline distT="0" distB="0" distL="114300" distR="114300">
            <wp:extent cx="5039995" cy="4237355"/>
            <wp:effectExtent l="0" t="0" r="13335" b="127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2"/>
                    <a:stretch>
                      <a:fillRect/>
                    </a:stretch>
                  </pic:blipFill>
                  <pic:spPr>
                    <a:xfrm>
                      <a:off x="0" y="0"/>
                      <a:ext cx="5040000" cy="4237800"/>
                    </a:xfrm>
                    <a:prstGeom prst="rect">
                      <a:avLst/>
                    </a:prstGeom>
                  </pic:spPr>
                </pic:pic>
              </a:graphicData>
            </a:graphic>
          </wp:inline>
        </w:drawing>
      </w:r>
    </w:p>
    <w:p w14:paraId="2F807A6B">
      <w:pPr>
        <w:spacing w:before="0" w:after="0" w:line="400" w:lineRule="exact"/>
        <w:ind w:firstLine="480"/>
        <w:jc w:val="both"/>
      </w:pPr>
      <w:r>
        <w:rPr>
          <w:rFonts w:ascii="Times New Roman" w:hAnsi="Times New Roman" w:eastAsia="宋体"/>
          <w:b w:val="0"/>
          <w:sz w:val="24"/>
        </w:rPr>
        <w:t>图4.3 流程发现模型</w:t>
      </w:r>
    </w:p>
    <w:p w14:paraId="227F9014">
      <w:pPr>
        <w:spacing w:before="0" w:after="0" w:line="400" w:lineRule="exact"/>
        <w:ind w:firstLine="480"/>
        <w:jc w:val="both"/>
      </w:pPr>
      <w:r>
        <w:rPr>
          <w:rFonts w:ascii="Times New Roman" w:hAnsi="Times New Roman" w:eastAsia="宋体"/>
          <w:b w:val="0"/>
          <w:sz w:val="24"/>
        </w:rPr>
        <w:t>采用Inductive Miner算法对预处理后的事件日志进行流程发现，生成的流程模型展示了互联网医院核心服务链的实际运行路径。流程模型基于Petri网形式表达，包含以下主要节点：在线问诊申请→医生接诊→诊断/咨询→（处方开具→处方审核）→（检查申请→检查预约→检查完成→结果查看）→药品取药→服务结束。其中括号表示可选路径，即并非所有问诊都必然经过处方和检查环节。</w:t>
      </w:r>
    </w:p>
    <w:p w14:paraId="3F270890">
      <w:pPr>
        <w:spacing w:before="0" w:after="0" w:line="400" w:lineRule="exact"/>
        <w:ind w:firstLine="480"/>
        <w:jc w:val="both"/>
      </w:pPr>
      <w:r>
        <w:rPr>
          <w:rFonts w:ascii="Times New Roman" w:hAnsi="Times New Roman" w:eastAsia="宋体"/>
          <w:b w:val="0"/>
          <w:sz w:val="24"/>
        </w:rPr>
        <w:t>流程发现的总体拟合度（Fitness）为0.93，表明所生成的流程模型能够解释93%的事件日志行为，模型质量良好。精确度（Precision）为0.78，表明模型允许的路径中有78%是实际被执行的，存在一定程度的"过度泛化"，这主要是由于少数低频异常路径的存在。</w:t>
      </w:r>
    </w:p>
    <w:p w14:paraId="6259A723">
      <w:pPr>
        <w:spacing w:before="240" w:after="120" w:line="240" w:lineRule="auto"/>
        <w:ind w:firstLine="480"/>
        <w:outlineLvl w:val="3"/>
      </w:pPr>
      <w:r>
        <w:rPr>
          <w:rFonts w:ascii="Times New Roman" w:hAnsi="Times New Roman" w:eastAsia="黑体"/>
          <w:b/>
          <w:sz w:val="24"/>
        </w:rPr>
        <w:t>（二）高频路径分析</w:t>
      </w:r>
    </w:p>
    <w:p w14:paraId="4688ED69">
      <w:pPr>
        <w:jc w:val="center"/>
      </w:pPr>
      <w:r>
        <w:drawing>
          <wp:inline distT="0" distB="0" distL="114300" distR="114300">
            <wp:extent cx="5039995" cy="3636645"/>
            <wp:effectExtent l="0" t="0" r="133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3"/>
                    <a:stretch>
                      <a:fillRect/>
                    </a:stretch>
                  </pic:blipFill>
                  <pic:spPr>
                    <a:xfrm>
                      <a:off x="0" y="0"/>
                      <a:ext cx="5040000" cy="3637200"/>
                    </a:xfrm>
                    <a:prstGeom prst="rect">
                      <a:avLst/>
                    </a:prstGeom>
                  </pic:spPr>
                </pic:pic>
              </a:graphicData>
            </a:graphic>
          </wp:inline>
        </w:drawing>
      </w:r>
    </w:p>
    <w:p w14:paraId="293F90B8">
      <w:pPr>
        <w:spacing w:before="0" w:after="0" w:line="400" w:lineRule="exact"/>
        <w:ind w:firstLine="480"/>
        <w:jc w:val="both"/>
      </w:pPr>
      <w:r>
        <w:rPr>
          <w:rFonts w:ascii="Times New Roman" w:hAnsi="Times New Roman" w:eastAsia="宋体"/>
          <w:b w:val="0"/>
          <w:sz w:val="24"/>
        </w:rPr>
        <w:t>图4.4 高频流程路径分布</w:t>
      </w:r>
    </w:p>
    <w:p w14:paraId="082AA123">
      <w:pPr>
        <w:spacing w:before="0" w:after="0" w:line="400" w:lineRule="exact"/>
        <w:ind w:firstLine="480"/>
        <w:jc w:val="both"/>
      </w:pPr>
      <w:r>
        <w:rPr>
          <w:rFonts w:ascii="Times New Roman" w:hAnsi="Times New Roman" w:eastAsia="宋体"/>
          <w:b w:val="0"/>
          <w:sz w:val="24"/>
        </w:rPr>
        <w:t>对全部案例的事件序列进行变体分析，共识别出202条不同的流程变体，其中六条高频流程路径合计覆盖了约85%的案例。各路径及其特征如下。</w:t>
      </w:r>
    </w:p>
    <w:p w14:paraId="3FC309B9">
      <w:pPr>
        <w:spacing w:before="0" w:after="0" w:line="400" w:lineRule="exact"/>
        <w:ind w:firstLine="480"/>
        <w:jc w:val="both"/>
      </w:pPr>
      <w:r>
        <w:rPr>
          <w:rFonts w:ascii="Times New Roman" w:hAnsi="Times New Roman" w:eastAsia="宋体"/>
          <w:b w:val="0"/>
          <w:sz w:val="24"/>
        </w:rPr>
        <w:t>路径一（占比32.5%）：问诊→处方开具→处方审核→取药→结束。这是最为典型的在线问诊路径，患者通过在线问诊获得处方，经药师审核后取药。该路径的平均总耗时为42分钟（从问诊申请到取药完成），其中处方审核环节平均耗时8分钟，是最长的单一环节。</w:t>
      </w:r>
    </w:p>
    <w:p w14:paraId="7A4CE2E5">
      <w:pPr>
        <w:spacing w:before="0" w:after="0" w:line="400" w:lineRule="exact"/>
        <w:ind w:firstLine="480"/>
        <w:jc w:val="both"/>
      </w:pPr>
      <w:r>
        <w:rPr>
          <w:rFonts w:ascii="Times New Roman" w:hAnsi="Times New Roman" w:eastAsia="宋体"/>
          <w:b w:val="0"/>
          <w:sz w:val="24"/>
        </w:rPr>
        <w:t>路径二（占比26.3%）：问诊→诊断意见→结束。此类案例中，医生的问诊结论为无需用药或检查，仅给出诊断建议或健康指导。该路径平均总耗时18分钟。</w:t>
      </w:r>
    </w:p>
    <w:p w14:paraId="44E73857">
      <w:pPr>
        <w:spacing w:before="0" w:after="0" w:line="400" w:lineRule="exact"/>
        <w:ind w:firstLine="480"/>
        <w:jc w:val="both"/>
      </w:pPr>
      <w:r>
        <w:rPr>
          <w:rFonts w:ascii="Times New Roman" w:hAnsi="Times New Roman" w:eastAsia="宋体"/>
          <w:b w:val="0"/>
          <w:sz w:val="24"/>
        </w:rPr>
        <w:t>路径三（占比12.8%）：问诊→检查申请→检查预约→检查完成→结果查看→结束。这类案例中，患者需要先完成线下检查才能确定治疗方案。该路径的平均总耗时为5.2天（含线下检查等待时间），是纯检查类路径中耗时最长的类型。</w:t>
      </w:r>
    </w:p>
    <w:p w14:paraId="030EBCCE">
      <w:pPr>
        <w:spacing w:before="0" w:after="0" w:line="400" w:lineRule="exact"/>
        <w:ind w:firstLine="480"/>
        <w:jc w:val="both"/>
      </w:pPr>
      <w:r>
        <w:rPr>
          <w:rFonts w:ascii="Times New Roman" w:hAnsi="Times New Roman" w:eastAsia="宋体"/>
          <w:b w:val="0"/>
          <w:sz w:val="24"/>
        </w:rPr>
        <w:t>路径四（占比7.1%）：问诊→处方开具→处方审核→检查申请→检查完成→取药→结束。这是包含处方和检查的复合路径，常见于初诊患者或病情较为复杂的情况。该路径平均总耗时为6.8天（含线下检查等待），是各路径中平均总耗时最长的类型。</w:t>
      </w:r>
    </w:p>
    <w:p w14:paraId="7511985B">
      <w:pPr>
        <w:spacing w:before="0" w:after="0" w:line="400" w:lineRule="exact"/>
        <w:ind w:firstLine="480"/>
        <w:jc w:val="both"/>
      </w:pPr>
      <w:r>
        <w:rPr>
          <w:rFonts w:ascii="Times New Roman" w:hAnsi="Times New Roman" w:eastAsia="宋体"/>
          <w:b w:val="0"/>
          <w:sz w:val="24"/>
        </w:rPr>
        <w:t>路径五（占比4.2%）：问诊申请→患者取消→结束。患者在提交问诊申请后取消，可能原因是等待时间过长或选择其他就医渠道。该路径的取消前平均等待时间为12分钟。</w:t>
      </w:r>
    </w:p>
    <w:p w14:paraId="07CB8594">
      <w:pPr>
        <w:spacing w:before="0" w:after="0" w:line="400" w:lineRule="exact"/>
        <w:ind w:firstLine="480"/>
        <w:jc w:val="both"/>
      </w:pPr>
      <w:r>
        <w:rPr>
          <w:rFonts w:ascii="Times New Roman" w:hAnsi="Times New Roman" w:eastAsia="宋体"/>
          <w:b w:val="0"/>
          <w:sz w:val="24"/>
        </w:rPr>
        <w:t>路径六（占比2.1%）：问诊→处方开具→处方审核→取药→检查申请→检查完成→结果查看→结束。这是包含"先取药后检查"的特殊路径，属于流程异常变体，将在下一小节中详述。</w:t>
      </w:r>
    </w:p>
    <w:p w14:paraId="6E6A6C76">
      <w:pPr>
        <w:spacing w:before="240" w:after="120" w:line="240" w:lineRule="auto"/>
        <w:ind w:firstLine="480"/>
        <w:outlineLvl w:val="3"/>
      </w:pPr>
      <w:r>
        <w:rPr>
          <w:rFonts w:ascii="Times New Roman" w:hAnsi="Times New Roman" w:eastAsia="黑体"/>
          <w:b/>
          <w:sz w:val="24"/>
        </w:rPr>
        <w:t>（三）异常变体识别</w:t>
      </w:r>
    </w:p>
    <w:p w14:paraId="5A6ACC60">
      <w:pPr>
        <w:spacing w:before="0" w:after="0" w:line="400" w:lineRule="exact"/>
        <w:ind w:firstLine="480"/>
        <w:jc w:val="both"/>
      </w:pPr>
      <w:r>
        <w:rPr>
          <w:rFonts w:ascii="Times New Roman" w:hAnsi="Times New Roman" w:eastAsia="宋体"/>
          <w:b w:val="0"/>
          <w:sz w:val="24"/>
        </w:rPr>
        <w:t>流程变体分析中，三类异常变体值得单独拎出来看。</w:t>
      </w:r>
    </w:p>
    <w:p w14:paraId="7C096569">
      <w:pPr>
        <w:spacing w:before="0" w:after="0" w:line="400" w:lineRule="exact"/>
        <w:ind w:firstLine="480"/>
        <w:jc w:val="both"/>
      </w:pPr>
      <w:r>
        <w:rPr>
          <w:rFonts w:ascii="Times New Roman" w:hAnsi="Times New Roman" w:eastAsia="宋体"/>
          <w:b w:val="0"/>
          <w:sz w:val="24"/>
        </w:rPr>
        <w:t>"返工"型变体约占全部案例的3.1%，表现为患者在同一问诊流程中多次发起问诊申请，或处方被退回医生重新开具。返工多发生在两种场景：处方审核不通过（约占总处方量的4.5%被退回修改），以及患者补充问诊。</w:t>
      </w:r>
    </w:p>
    <w:p w14:paraId="4AA183F9">
      <w:pPr>
        <w:spacing w:before="0" w:after="0" w:line="400" w:lineRule="exact"/>
        <w:ind w:firstLine="480"/>
        <w:jc w:val="both"/>
      </w:pPr>
      <w:r>
        <w:rPr>
          <w:rFonts w:ascii="Times New Roman" w:hAnsi="Times New Roman" w:eastAsia="宋体"/>
          <w:b w:val="0"/>
          <w:sz w:val="24"/>
        </w:rPr>
        <w:t>"顺序颠倒"型变体约占1.8%，标志是取药事件发生在检查完成事件之前（即前述路径六）。可能的解释有两个：患者在等待检查期间先行取药；或者处方和检查分属不同的医疗需求，患者的操作顺序与推荐的临床路径不一致。无论哪种原因，这类变体都指向流程指引的不足。</w:t>
      </w:r>
    </w:p>
    <w:p w14:paraId="463BC6BB">
      <w:pPr>
        <w:spacing w:before="0" w:after="0" w:line="400" w:lineRule="exact"/>
        <w:ind w:firstLine="480"/>
        <w:jc w:val="both"/>
      </w:pPr>
      <w:r>
        <w:rPr>
          <w:rFonts w:ascii="Times New Roman" w:hAnsi="Times New Roman" w:eastAsia="宋体"/>
          <w:b w:val="0"/>
          <w:sz w:val="24"/>
        </w:rPr>
        <w:t>"长时间停滞"型变体占比最高，约4.6%，表现为案例在某一环节的停留时间显著超过正常范围——处方审核超过2小时、检查预约超过3天，都属此类。停滞案例集中在2023年平台运营早期，2024年和2025年有所改善，但仍占总案例的3%-4%。</w:t>
      </w:r>
    </w:p>
    <w:p w14:paraId="32362316">
      <w:pPr>
        <w:spacing w:before="240" w:after="120" w:line="240" w:lineRule="auto"/>
        <w:ind w:firstLine="520"/>
        <w:outlineLvl w:val="2"/>
      </w:pPr>
      <w:bookmarkStart w:id="58" w:name="_Toc13450"/>
      <w:r>
        <w:rPr>
          <w:rFonts w:ascii="Times New Roman" w:hAnsi="Times New Roman" w:eastAsia="黑体"/>
          <w:b/>
          <w:sz w:val="26"/>
        </w:rPr>
        <w:t>三、流程瓶颈定量分析</w:t>
      </w:r>
      <w:bookmarkEnd w:id="58"/>
    </w:p>
    <w:p w14:paraId="683E4F6C">
      <w:pPr>
        <w:spacing w:before="240" w:after="120" w:line="240" w:lineRule="auto"/>
        <w:ind w:firstLine="480"/>
        <w:outlineLvl w:val="3"/>
      </w:pPr>
      <w:r>
        <w:rPr>
          <w:rFonts w:ascii="Times New Roman" w:hAnsi="Times New Roman" w:eastAsia="黑体"/>
          <w:b/>
          <w:sz w:val="24"/>
        </w:rPr>
        <w:t>（一）各环节平均处理时间</w:t>
      </w:r>
    </w:p>
    <w:p w14:paraId="14CF4A2D">
      <w:pPr>
        <w:jc w:val="center"/>
      </w:pPr>
      <w:r>
        <w:drawing>
          <wp:inline distT="0" distB="0" distL="114300" distR="114300">
            <wp:extent cx="5039995" cy="2996565"/>
            <wp:effectExtent l="0" t="0" r="13335" b="1206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4"/>
                    <a:stretch>
                      <a:fillRect/>
                    </a:stretch>
                  </pic:blipFill>
                  <pic:spPr>
                    <a:xfrm>
                      <a:off x="0" y="0"/>
                      <a:ext cx="5040000" cy="2996700"/>
                    </a:xfrm>
                    <a:prstGeom prst="rect">
                      <a:avLst/>
                    </a:prstGeom>
                  </pic:spPr>
                </pic:pic>
              </a:graphicData>
            </a:graphic>
          </wp:inline>
        </w:drawing>
      </w:r>
    </w:p>
    <w:p w14:paraId="20C4DC13">
      <w:pPr>
        <w:spacing w:before="0" w:after="0" w:line="400" w:lineRule="exact"/>
        <w:ind w:firstLine="480"/>
        <w:jc w:val="both"/>
      </w:pPr>
      <w:r>
        <w:rPr>
          <w:rFonts w:ascii="Times New Roman" w:hAnsi="Times New Roman" w:eastAsia="宋体"/>
          <w:b w:val="0"/>
          <w:sz w:val="24"/>
        </w:rPr>
        <w:t>图4.5 各环节时间对比</w:t>
      </w:r>
    </w:p>
    <w:p w14:paraId="70BE3868">
      <w:pPr>
        <w:spacing w:before="0" w:after="0" w:line="400" w:lineRule="exact"/>
        <w:ind w:firstLine="480"/>
        <w:jc w:val="both"/>
      </w:pPr>
      <w:r>
        <w:rPr>
          <w:rFonts w:ascii="Times New Roman" w:hAnsi="Times New Roman" w:eastAsia="宋体"/>
          <w:b w:val="0"/>
          <w:sz w:val="24"/>
        </w:rPr>
        <w:t>基于事件日志数据对各环节的平均处理时间进行了统计计算。处理时间的定义为：从该环节的开始事件时间戳到该环节的结束事件时间戳之间的时间差。</w:t>
      </w:r>
    </w:p>
    <w:p w14:paraId="43E13CED">
      <w:pPr>
        <w:spacing w:before="120" w:after="120" w:line="240" w:lineRule="auto"/>
        <w:jc w:val="center"/>
      </w:pPr>
      <w:r>
        <w:rPr>
          <w:rFonts w:ascii="Times New Roman" w:hAnsi="Times New Roman" w:eastAsia="宋体"/>
          <w:b w:val="0"/>
          <w:sz w:val="21"/>
        </w:rPr>
        <w:t>表4.6　各环节平均处理时间与标准差</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722"/>
        <w:gridCol w:w="1722"/>
        <w:gridCol w:w="1722"/>
        <w:gridCol w:w="1722"/>
        <w:gridCol w:w="1722"/>
      </w:tblGrid>
      <w:tr w14:paraId="0209308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PrEx>
        <w:trPr>
          <w:jc w:val="center"/>
        </w:trPr>
        <w:tc>
          <w:tcPr>
            <w:tcW w:w="1722" w:type="dxa"/>
            <w:tcBorders>
              <w:bottom w:val="single" w:color="000000" w:sz="12" w:space="0"/>
            </w:tcBorders>
          </w:tcPr>
          <w:p w14:paraId="427D6D30">
            <w:pPr>
              <w:jc w:val="center"/>
            </w:pPr>
            <w:r>
              <w:rPr>
                <w:rFonts w:ascii="Times New Roman" w:hAnsi="Times New Roman" w:eastAsia="宋体"/>
                <w:b/>
                <w:sz w:val="20"/>
              </w:rPr>
              <w:t>环节</w:t>
            </w:r>
          </w:p>
        </w:tc>
        <w:tc>
          <w:tcPr>
            <w:tcW w:w="1722" w:type="dxa"/>
            <w:tcBorders>
              <w:bottom w:val="single" w:color="000000" w:sz="12" w:space="0"/>
            </w:tcBorders>
          </w:tcPr>
          <w:p w14:paraId="2F40075D">
            <w:pPr>
              <w:jc w:val="center"/>
            </w:pPr>
            <w:r>
              <w:rPr>
                <w:rFonts w:ascii="Times New Roman" w:hAnsi="Times New Roman" w:eastAsia="宋体"/>
                <w:b/>
                <w:sz w:val="20"/>
              </w:rPr>
              <w:t>平均处理时间</w:t>
            </w:r>
          </w:p>
        </w:tc>
        <w:tc>
          <w:tcPr>
            <w:tcW w:w="1722" w:type="dxa"/>
            <w:tcBorders>
              <w:bottom w:val="single" w:color="000000" w:sz="12" w:space="0"/>
            </w:tcBorders>
          </w:tcPr>
          <w:p w14:paraId="5F85117D">
            <w:pPr>
              <w:jc w:val="center"/>
            </w:pPr>
            <w:r>
              <w:rPr>
                <w:rFonts w:ascii="Times New Roman" w:hAnsi="Times New Roman" w:eastAsia="宋体"/>
                <w:b/>
                <w:sz w:val="20"/>
              </w:rPr>
              <w:t>标准差</w:t>
            </w:r>
          </w:p>
        </w:tc>
        <w:tc>
          <w:tcPr>
            <w:tcW w:w="1722" w:type="dxa"/>
            <w:tcBorders>
              <w:bottom w:val="single" w:color="000000" w:sz="12" w:space="0"/>
            </w:tcBorders>
          </w:tcPr>
          <w:p w14:paraId="6F620042">
            <w:pPr>
              <w:jc w:val="center"/>
            </w:pPr>
            <w:r>
              <w:rPr>
                <w:rFonts w:ascii="Times New Roman" w:hAnsi="Times New Roman" w:eastAsia="宋体"/>
                <w:b/>
                <w:sz w:val="20"/>
              </w:rPr>
              <w:t>中位数</w:t>
            </w:r>
          </w:p>
        </w:tc>
        <w:tc>
          <w:tcPr>
            <w:tcW w:w="1722" w:type="dxa"/>
            <w:tcBorders>
              <w:bottom w:val="single" w:color="000000" w:sz="12" w:space="0"/>
            </w:tcBorders>
          </w:tcPr>
          <w:p w14:paraId="0E4DCE89">
            <w:pPr>
              <w:jc w:val="center"/>
            </w:pPr>
            <w:r>
              <w:rPr>
                <w:rFonts w:ascii="Times New Roman" w:hAnsi="Times New Roman" w:eastAsia="宋体"/>
                <w:b/>
                <w:sz w:val="20"/>
              </w:rPr>
              <w:t>P90</w:t>
            </w:r>
          </w:p>
        </w:tc>
      </w:tr>
      <w:tr w14:paraId="5E9AB75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1F564F0E">
            <w:r>
              <w:rPr>
                <w:rFonts w:ascii="Times New Roman" w:hAnsi="Times New Roman" w:eastAsia="宋体"/>
                <w:sz w:val="20"/>
              </w:rPr>
              <w:t>医生接诊</w:t>
            </w:r>
          </w:p>
        </w:tc>
        <w:tc>
          <w:tcPr>
            <w:tcW w:w="1722" w:type="dxa"/>
          </w:tcPr>
          <w:p w14:paraId="0E0D1C34">
            <w:r>
              <w:rPr>
                <w:rFonts w:ascii="Times New Roman" w:hAnsi="Times New Roman" w:eastAsia="宋体"/>
                <w:sz w:val="20"/>
              </w:rPr>
              <w:t>8.2分钟</w:t>
            </w:r>
          </w:p>
        </w:tc>
        <w:tc>
          <w:tcPr>
            <w:tcW w:w="1722" w:type="dxa"/>
          </w:tcPr>
          <w:p w14:paraId="74994BD1">
            <w:r>
              <w:rPr>
                <w:rFonts w:ascii="Times New Roman" w:hAnsi="Times New Roman" w:eastAsia="宋体"/>
                <w:sz w:val="20"/>
              </w:rPr>
              <w:t>12.5分钟</w:t>
            </w:r>
          </w:p>
        </w:tc>
        <w:tc>
          <w:tcPr>
            <w:tcW w:w="1722" w:type="dxa"/>
          </w:tcPr>
          <w:p w14:paraId="541DA852">
            <w:r>
              <w:rPr>
                <w:rFonts w:ascii="Times New Roman" w:hAnsi="Times New Roman" w:eastAsia="宋体"/>
                <w:sz w:val="20"/>
              </w:rPr>
              <w:t>4.3分钟</w:t>
            </w:r>
          </w:p>
        </w:tc>
        <w:tc>
          <w:tcPr>
            <w:tcW w:w="1722" w:type="dxa"/>
          </w:tcPr>
          <w:p w14:paraId="75CD8920">
            <w:r>
              <w:rPr>
                <w:rFonts w:ascii="Times New Roman" w:hAnsi="Times New Roman" w:eastAsia="宋体"/>
                <w:sz w:val="20"/>
              </w:rPr>
              <w:t>18.2分钟</w:t>
            </w:r>
          </w:p>
        </w:tc>
      </w:tr>
      <w:tr w14:paraId="5B602DB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5067743D">
            <w:r>
              <w:rPr>
                <w:rFonts w:ascii="Times New Roman" w:hAnsi="Times New Roman" w:eastAsia="宋体"/>
                <w:sz w:val="20"/>
              </w:rPr>
              <w:t>处方开具</w:t>
            </w:r>
          </w:p>
        </w:tc>
        <w:tc>
          <w:tcPr>
            <w:tcW w:w="1722" w:type="dxa"/>
          </w:tcPr>
          <w:p w14:paraId="478B6F2C">
            <w:r>
              <w:rPr>
                <w:rFonts w:ascii="Times New Roman" w:hAnsi="Times New Roman" w:eastAsia="宋体"/>
                <w:sz w:val="20"/>
              </w:rPr>
              <w:t>3.5分钟</w:t>
            </w:r>
          </w:p>
        </w:tc>
        <w:tc>
          <w:tcPr>
            <w:tcW w:w="1722" w:type="dxa"/>
          </w:tcPr>
          <w:p w14:paraId="3ED26EF6">
            <w:r>
              <w:rPr>
                <w:rFonts w:ascii="Times New Roman" w:hAnsi="Times New Roman" w:eastAsia="宋体"/>
                <w:sz w:val="20"/>
              </w:rPr>
              <w:t>5.1分钟</w:t>
            </w:r>
          </w:p>
        </w:tc>
        <w:tc>
          <w:tcPr>
            <w:tcW w:w="1722" w:type="dxa"/>
          </w:tcPr>
          <w:p w14:paraId="1E914DF5">
            <w:r>
              <w:rPr>
                <w:rFonts w:ascii="Times New Roman" w:hAnsi="Times New Roman" w:eastAsia="宋体"/>
                <w:sz w:val="20"/>
              </w:rPr>
              <w:t>2.1分钟</w:t>
            </w:r>
          </w:p>
        </w:tc>
        <w:tc>
          <w:tcPr>
            <w:tcW w:w="1722" w:type="dxa"/>
          </w:tcPr>
          <w:p w14:paraId="4362C9EB">
            <w:r>
              <w:rPr>
                <w:rFonts w:ascii="Times New Roman" w:hAnsi="Times New Roman" w:eastAsia="宋体"/>
                <w:sz w:val="20"/>
              </w:rPr>
              <w:t>7.0分钟</w:t>
            </w:r>
          </w:p>
        </w:tc>
      </w:tr>
      <w:tr w14:paraId="0B4B290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690E8993">
            <w:r>
              <w:rPr>
                <w:rFonts w:ascii="Times New Roman" w:hAnsi="Times New Roman" w:eastAsia="宋体"/>
                <w:sz w:val="20"/>
              </w:rPr>
              <w:t>处方审核</w:t>
            </w:r>
          </w:p>
        </w:tc>
        <w:tc>
          <w:tcPr>
            <w:tcW w:w="1722" w:type="dxa"/>
          </w:tcPr>
          <w:p w14:paraId="4A435FE8">
            <w:r>
              <w:rPr>
                <w:rFonts w:ascii="Times New Roman" w:hAnsi="Times New Roman" w:eastAsia="宋体"/>
                <w:sz w:val="20"/>
              </w:rPr>
              <w:t>8.0分钟</w:t>
            </w:r>
          </w:p>
        </w:tc>
        <w:tc>
          <w:tcPr>
            <w:tcW w:w="1722" w:type="dxa"/>
          </w:tcPr>
          <w:p w14:paraId="6A64D514">
            <w:r>
              <w:rPr>
                <w:rFonts w:ascii="Times New Roman" w:hAnsi="Times New Roman" w:eastAsia="宋体"/>
                <w:sz w:val="20"/>
              </w:rPr>
              <w:t>15.3分钟</w:t>
            </w:r>
          </w:p>
        </w:tc>
        <w:tc>
          <w:tcPr>
            <w:tcW w:w="1722" w:type="dxa"/>
          </w:tcPr>
          <w:p w14:paraId="6292684A">
            <w:r>
              <w:rPr>
                <w:rFonts w:ascii="Times New Roman" w:hAnsi="Times New Roman" w:eastAsia="宋体"/>
                <w:sz w:val="20"/>
              </w:rPr>
              <w:t>4.5分钟</w:t>
            </w:r>
          </w:p>
        </w:tc>
        <w:tc>
          <w:tcPr>
            <w:tcW w:w="1722" w:type="dxa"/>
          </w:tcPr>
          <w:p w14:paraId="46970CE2">
            <w:r>
              <w:rPr>
                <w:rFonts w:ascii="Times New Roman" w:hAnsi="Times New Roman" w:eastAsia="宋体"/>
                <w:sz w:val="20"/>
              </w:rPr>
              <w:t>19.8分钟</w:t>
            </w:r>
          </w:p>
        </w:tc>
      </w:tr>
      <w:tr w14:paraId="7465852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4378DB2A">
            <w:r>
              <w:rPr>
                <w:rFonts w:ascii="Times New Roman" w:hAnsi="Times New Roman" w:eastAsia="宋体"/>
                <w:sz w:val="20"/>
              </w:rPr>
              <w:t>检查预约</w:t>
            </w:r>
          </w:p>
        </w:tc>
        <w:tc>
          <w:tcPr>
            <w:tcW w:w="1722" w:type="dxa"/>
          </w:tcPr>
          <w:p w14:paraId="5705621E">
            <w:r>
              <w:rPr>
                <w:rFonts w:ascii="Times New Roman" w:hAnsi="Times New Roman" w:eastAsia="宋体"/>
                <w:sz w:val="20"/>
              </w:rPr>
              <w:t>2.4小时</w:t>
            </w:r>
          </w:p>
        </w:tc>
        <w:tc>
          <w:tcPr>
            <w:tcW w:w="1722" w:type="dxa"/>
          </w:tcPr>
          <w:p w14:paraId="671D3116">
            <w:r>
              <w:rPr>
                <w:rFonts w:ascii="Times New Roman" w:hAnsi="Times New Roman" w:eastAsia="宋体"/>
                <w:sz w:val="20"/>
              </w:rPr>
              <w:t>5.6小时</w:t>
            </w:r>
          </w:p>
        </w:tc>
        <w:tc>
          <w:tcPr>
            <w:tcW w:w="1722" w:type="dxa"/>
          </w:tcPr>
          <w:p w14:paraId="6AEFAF92">
            <w:r>
              <w:rPr>
                <w:rFonts w:ascii="Times New Roman" w:hAnsi="Times New Roman" w:eastAsia="宋体"/>
                <w:sz w:val="20"/>
              </w:rPr>
              <w:t>0.8小时</w:t>
            </w:r>
          </w:p>
        </w:tc>
        <w:tc>
          <w:tcPr>
            <w:tcW w:w="1722" w:type="dxa"/>
          </w:tcPr>
          <w:p w14:paraId="2DB832E2">
            <w:r>
              <w:rPr>
                <w:rFonts w:ascii="Times New Roman" w:hAnsi="Times New Roman" w:eastAsia="宋体"/>
                <w:sz w:val="20"/>
              </w:rPr>
              <w:t>6.2小时</w:t>
            </w:r>
          </w:p>
        </w:tc>
      </w:tr>
      <w:tr w14:paraId="65E7526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67C2B6FA">
            <w:r>
              <w:rPr>
                <w:rFonts w:ascii="Times New Roman" w:hAnsi="Times New Roman" w:eastAsia="宋体"/>
                <w:sz w:val="20"/>
              </w:rPr>
              <w:t>检查完成</w:t>
            </w:r>
          </w:p>
        </w:tc>
        <w:tc>
          <w:tcPr>
            <w:tcW w:w="1722" w:type="dxa"/>
          </w:tcPr>
          <w:p w14:paraId="01AEFCDF">
            <w:r>
              <w:rPr>
                <w:rFonts w:ascii="Times New Roman" w:hAnsi="Times New Roman" w:eastAsia="宋体"/>
                <w:sz w:val="20"/>
              </w:rPr>
              <w:t>38.5小时</w:t>
            </w:r>
          </w:p>
        </w:tc>
        <w:tc>
          <w:tcPr>
            <w:tcW w:w="1722" w:type="dxa"/>
          </w:tcPr>
          <w:p w14:paraId="6DE14100">
            <w:r>
              <w:rPr>
                <w:rFonts w:ascii="Times New Roman" w:hAnsi="Times New Roman" w:eastAsia="宋体"/>
                <w:sz w:val="20"/>
              </w:rPr>
              <w:t>52.3小时</w:t>
            </w:r>
          </w:p>
        </w:tc>
        <w:tc>
          <w:tcPr>
            <w:tcW w:w="1722" w:type="dxa"/>
          </w:tcPr>
          <w:p w14:paraId="2780D75D">
            <w:r>
              <w:rPr>
                <w:rFonts w:ascii="Times New Roman" w:hAnsi="Times New Roman" w:eastAsia="宋体"/>
                <w:sz w:val="20"/>
              </w:rPr>
              <w:t>24.1小时</w:t>
            </w:r>
          </w:p>
        </w:tc>
        <w:tc>
          <w:tcPr>
            <w:tcW w:w="1722" w:type="dxa"/>
          </w:tcPr>
          <w:p w14:paraId="77E5D98D">
            <w:r>
              <w:rPr>
                <w:rFonts w:ascii="Times New Roman" w:hAnsi="Times New Roman" w:eastAsia="宋体"/>
                <w:sz w:val="20"/>
              </w:rPr>
              <w:t>96.0小时</w:t>
            </w:r>
          </w:p>
        </w:tc>
      </w:tr>
      <w:tr w14:paraId="020030D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7B21EF19">
            <w:r>
              <w:rPr>
                <w:rFonts w:ascii="Times New Roman" w:hAnsi="Times New Roman" w:eastAsia="宋体"/>
                <w:sz w:val="20"/>
              </w:rPr>
              <w:t>药品取药</w:t>
            </w:r>
          </w:p>
        </w:tc>
        <w:tc>
          <w:tcPr>
            <w:tcW w:w="1722" w:type="dxa"/>
          </w:tcPr>
          <w:p w14:paraId="45EF7713">
            <w:r>
              <w:rPr>
                <w:rFonts w:ascii="Times New Roman" w:hAnsi="Times New Roman" w:eastAsia="宋体"/>
                <w:sz w:val="20"/>
              </w:rPr>
              <w:t>15.3分钟</w:t>
            </w:r>
          </w:p>
        </w:tc>
        <w:tc>
          <w:tcPr>
            <w:tcW w:w="1722" w:type="dxa"/>
          </w:tcPr>
          <w:p w14:paraId="3C874745">
            <w:r>
              <w:rPr>
                <w:rFonts w:ascii="Times New Roman" w:hAnsi="Times New Roman" w:eastAsia="宋体"/>
                <w:sz w:val="20"/>
              </w:rPr>
              <w:t>8.2分钟</w:t>
            </w:r>
          </w:p>
        </w:tc>
        <w:tc>
          <w:tcPr>
            <w:tcW w:w="1722" w:type="dxa"/>
          </w:tcPr>
          <w:p w14:paraId="2AB4AE2F">
            <w:r>
              <w:rPr>
                <w:rFonts w:ascii="Times New Roman" w:hAnsi="Times New Roman" w:eastAsia="宋体"/>
                <w:sz w:val="20"/>
              </w:rPr>
              <w:t>12.1分钟</w:t>
            </w:r>
          </w:p>
        </w:tc>
        <w:tc>
          <w:tcPr>
            <w:tcW w:w="1722" w:type="dxa"/>
          </w:tcPr>
          <w:p w14:paraId="45AD53CC">
            <w:r>
              <w:rPr>
                <w:rFonts w:ascii="Times New Roman" w:hAnsi="Times New Roman" w:eastAsia="宋体"/>
                <w:sz w:val="20"/>
              </w:rPr>
              <w:t>28.4分钟</w:t>
            </w:r>
          </w:p>
        </w:tc>
      </w:tr>
    </w:tbl>
    <w:p w14:paraId="7EF146A3"/>
    <w:p w14:paraId="429A96BA">
      <w:pPr>
        <w:spacing w:before="0" w:after="0" w:line="400" w:lineRule="exact"/>
        <w:ind w:firstLine="480"/>
        <w:jc w:val="both"/>
      </w:pPr>
      <w:r>
        <w:rPr>
          <w:rFonts w:ascii="Times New Roman" w:hAnsi="Times New Roman" w:eastAsia="宋体"/>
          <w:b w:val="0"/>
          <w:sz w:val="24"/>
        </w:rPr>
        <w:t>从表4.6可以看出，检查完成环节（从检查开始到报告出具）是整体流程中耗时最长的环节，平均耗时38.5小时。其次是检查预约环节（从检查申请到预约成功），平均耗时2.4小时。在线上环节中，处方审核的耗时波动最大（标准差15.3分钟），说明该环节的服务水平不稳定，部分处方审核时长显著偏离均值。</w:t>
      </w:r>
    </w:p>
    <w:p w14:paraId="4F30157E">
      <w:pPr>
        <w:spacing w:before="240" w:after="120" w:line="240" w:lineRule="auto"/>
        <w:ind w:firstLine="480"/>
        <w:outlineLvl w:val="3"/>
      </w:pPr>
      <w:r>
        <w:rPr>
          <w:rFonts w:ascii="Times New Roman" w:hAnsi="Times New Roman" w:eastAsia="黑体"/>
          <w:b/>
          <w:sz w:val="24"/>
        </w:rPr>
        <w:t>（二）等待时间分布</w:t>
      </w:r>
    </w:p>
    <w:p w14:paraId="79871641">
      <w:pPr>
        <w:spacing w:before="0" w:after="0" w:line="400" w:lineRule="exact"/>
        <w:ind w:firstLine="480"/>
        <w:jc w:val="both"/>
      </w:pPr>
      <w:r>
        <w:rPr>
          <w:rFonts w:ascii="Times New Roman" w:hAnsi="Times New Roman" w:eastAsia="宋体"/>
          <w:b w:val="0"/>
          <w:sz w:val="24"/>
        </w:rPr>
        <w:t>环节之间的等待时间是衡量流程衔接效率的关键指标。表4.7展示了主要环节间的平均等待时间。</w:t>
      </w:r>
    </w:p>
    <w:p w14:paraId="45D011DD">
      <w:pPr>
        <w:spacing w:before="120" w:after="120" w:line="240" w:lineRule="auto"/>
        <w:jc w:val="center"/>
      </w:pPr>
      <w:r>
        <w:rPr>
          <w:rFonts w:ascii="Times New Roman" w:hAnsi="Times New Roman" w:eastAsia="宋体"/>
          <w:b w:val="0"/>
          <w:sz w:val="21"/>
        </w:rPr>
        <w:t>表4.7　环节间平均等待时间</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7E105FE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1372A97B">
            <w:pPr>
              <w:jc w:val="center"/>
            </w:pPr>
            <w:r>
              <w:rPr>
                <w:rFonts w:ascii="Times New Roman" w:hAnsi="Times New Roman" w:eastAsia="宋体"/>
                <w:b/>
                <w:sz w:val="20"/>
              </w:rPr>
              <w:t>等待环节</w:t>
            </w:r>
          </w:p>
        </w:tc>
        <w:tc>
          <w:tcPr>
            <w:tcW w:w="2153" w:type="dxa"/>
            <w:tcBorders>
              <w:bottom w:val="single" w:color="000000" w:sz="12" w:space="0"/>
            </w:tcBorders>
          </w:tcPr>
          <w:p w14:paraId="29FAD49D">
            <w:pPr>
              <w:jc w:val="center"/>
            </w:pPr>
            <w:r>
              <w:rPr>
                <w:rFonts w:ascii="Times New Roman" w:hAnsi="Times New Roman" w:eastAsia="宋体"/>
                <w:b/>
                <w:sz w:val="20"/>
              </w:rPr>
              <w:t>平均等待时间</w:t>
            </w:r>
          </w:p>
        </w:tc>
        <w:tc>
          <w:tcPr>
            <w:tcW w:w="2153" w:type="dxa"/>
            <w:tcBorders>
              <w:bottom w:val="single" w:color="000000" w:sz="12" w:space="0"/>
            </w:tcBorders>
          </w:tcPr>
          <w:p w14:paraId="62096EBA">
            <w:pPr>
              <w:jc w:val="center"/>
            </w:pPr>
            <w:r>
              <w:rPr>
                <w:rFonts w:ascii="Times New Roman" w:hAnsi="Times New Roman" w:eastAsia="宋体"/>
                <w:b/>
                <w:sz w:val="20"/>
              </w:rPr>
              <w:t>P90</w:t>
            </w:r>
          </w:p>
        </w:tc>
        <w:tc>
          <w:tcPr>
            <w:tcW w:w="2153" w:type="dxa"/>
            <w:tcBorders>
              <w:bottom w:val="single" w:color="000000" w:sz="12" w:space="0"/>
            </w:tcBorders>
          </w:tcPr>
          <w:p w14:paraId="08605A27">
            <w:pPr>
              <w:jc w:val="center"/>
            </w:pPr>
            <w:r>
              <w:rPr>
                <w:rFonts w:ascii="Times New Roman" w:hAnsi="Times New Roman" w:eastAsia="宋体"/>
                <w:b/>
                <w:sz w:val="20"/>
              </w:rPr>
              <w:t>说明</w:t>
            </w:r>
          </w:p>
        </w:tc>
      </w:tr>
      <w:tr w14:paraId="17BCF17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059A6D30">
            <w:r>
              <w:rPr>
                <w:rFonts w:ascii="Times New Roman" w:hAnsi="Times New Roman" w:eastAsia="宋体"/>
                <w:sz w:val="20"/>
              </w:rPr>
              <w:t>问诊申请→医生接诊</w:t>
            </w:r>
          </w:p>
        </w:tc>
        <w:tc>
          <w:tcPr>
            <w:tcW w:w="2153" w:type="dxa"/>
          </w:tcPr>
          <w:p w14:paraId="23F273DC">
            <w:r>
              <w:rPr>
                <w:rFonts w:ascii="Times New Roman" w:hAnsi="Times New Roman" w:eastAsia="宋体"/>
                <w:sz w:val="20"/>
              </w:rPr>
              <w:t>6.5分钟</w:t>
            </w:r>
          </w:p>
        </w:tc>
        <w:tc>
          <w:tcPr>
            <w:tcW w:w="2153" w:type="dxa"/>
          </w:tcPr>
          <w:p w14:paraId="31613E63">
            <w:r>
              <w:rPr>
                <w:rFonts w:ascii="Times New Roman" w:hAnsi="Times New Roman" w:eastAsia="宋体"/>
                <w:sz w:val="20"/>
              </w:rPr>
              <w:t>15.2分钟</w:t>
            </w:r>
          </w:p>
        </w:tc>
        <w:tc>
          <w:tcPr>
            <w:tcW w:w="2153" w:type="dxa"/>
          </w:tcPr>
          <w:p w14:paraId="3667E90F">
            <w:r>
              <w:rPr>
                <w:rFonts w:ascii="Times New Roman" w:hAnsi="Times New Roman" w:eastAsia="宋体"/>
                <w:sz w:val="20"/>
              </w:rPr>
              <w:t>取决于医生排班和当前队列</w:t>
            </w:r>
          </w:p>
        </w:tc>
      </w:tr>
      <w:tr w14:paraId="6AF984A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8B7F953">
            <w:r>
              <w:rPr>
                <w:rFonts w:ascii="Times New Roman" w:hAnsi="Times New Roman" w:eastAsia="宋体"/>
                <w:sz w:val="20"/>
              </w:rPr>
              <w:t>处方开具→处方审核</w:t>
            </w:r>
          </w:p>
        </w:tc>
        <w:tc>
          <w:tcPr>
            <w:tcW w:w="2153" w:type="dxa"/>
          </w:tcPr>
          <w:p w14:paraId="736FA0C3">
            <w:r>
              <w:rPr>
                <w:rFonts w:ascii="Times New Roman" w:hAnsi="Times New Roman" w:eastAsia="宋体"/>
                <w:sz w:val="20"/>
              </w:rPr>
              <w:t>2.3分钟</w:t>
            </w:r>
          </w:p>
        </w:tc>
        <w:tc>
          <w:tcPr>
            <w:tcW w:w="2153" w:type="dxa"/>
          </w:tcPr>
          <w:p w14:paraId="40050032">
            <w:r>
              <w:rPr>
                <w:rFonts w:ascii="Times New Roman" w:hAnsi="Times New Roman" w:eastAsia="宋体"/>
                <w:sz w:val="20"/>
              </w:rPr>
              <w:t>8.5分钟</w:t>
            </w:r>
          </w:p>
        </w:tc>
        <w:tc>
          <w:tcPr>
            <w:tcW w:w="2153" w:type="dxa"/>
          </w:tcPr>
          <w:p w14:paraId="43B3ABAD">
            <w:r>
              <w:rPr>
                <w:rFonts w:ascii="Times New Roman" w:hAnsi="Times New Roman" w:eastAsia="宋体"/>
                <w:sz w:val="20"/>
              </w:rPr>
              <w:t>处方提交到药师审核的间隔</w:t>
            </w:r>
          </w:p>
        </w:tc>
      </w:tr>
      <w:tr w14:paraId="6A60B75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1D465E45">
            <w:r>
              <w:rPr>
                <w:rFonts w:ascii="Times New Roman" w:hAnsi="Times New Roman" w:eastAsia="宋体"/>
                <w:sz w:val="20"/>
              </w:rPr>
              <w:t>审核通过→取药选择</w:t>
            </w:r>
          </w:p>
        </w:tc>
        <w:tc>
          <w:tcPr>
            <w:tcW w:w="2153" w:type="dxa"/>
          </w:tcPr>
          <w:p w14:paraId="30618350">
            <w:r>
              <w:rPr>
                <w:rFonts w:ascii="Times New Roman" w:hAnsi="Times New Roman" w:eastAsia="宋体"/>
                <w:sz w:val="20"/>
              </w:rPr>
              <w:t>5.1分钟</w:t>
            </w:r>
          </w:p>
        </w:tc>
        <w:tc>
          <w:tcPr>
            <w:tcW w:w="2153" w:type="dxa"/>
          </w:tcPr>
          <w:p w14:paraId="1866BF0C">
            <w:r>
              <w:rPr>
                <w:rFonts w:ascii="Times New Roman" w:hAnsi="Times New Roman" w:eastAsia="宋体"/>
                <w:sz w:val="20"/>
              </w:rPr>
              <w:t>18.0分钟</w:t>
            </w:r>
          </w:p>
        </w:tc>
        <w:tc>
          <w:tcPr>
            <w:tcW w:w="2153" w:type="dxa"/>
          </w:tcPr>
          <w:p w14:paraId="3BDFC03B">
            <w:r>
              <w:rPr>
                <w:rFonts w:ascii="Times New Roman" w:hAnsi="Times New Roman" w:eastAsia="宋体"/>
                <w:sz w:val="20"/>
              </w:rPr>
              <w:t>患者做出取药决策的时间</w:t>
            </w:r>
          </w:p>
        </w:tc>
      </w:tr>
      <w:tr w14:paraId="728C217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48E256FF">
            <w:r>
              <w:rPr>
                <w:rFonts w:ascii="Times New Roman" w:hAnsi="Times New Roman" w:eastAsia="宋体"/>
                <w:sz w:val="20"/>
              </w:rPr>
              <w:t>检查申请→检查预约</w:t>
            </w:r>
          </w:p>
        </w:tc>
        <w:tc>
          <w:tcPr>
            <w:tcW w:w="2153" w:type="dxa"/>
          </w:tcPr>
          <w:p w14:paraId="45935401">
            <w:r>
              <w:rPr>
                <w:rFonts w:ascii="Times New Roman" w:hAnsi="Times New Roman" w:eastAsia="宋体"/>
                <w:sz w:val="20"/>
              </w:rPr>
              <w:t>2.4小时</w:t>
            </w:r>
          </w:p>
        </w:tc>
        <w:tc>
          <w:tcPr>
            <w:tcW w:w="2153" w:type="dxa"/>
          </w:tcPr>
          <w:p w14:paraId="62873BE3">
            <w:r>
              <w:rPr>
                <w:rFonts w:ascii="Times New Roman" w:hAnsi="Times New Roman" w:eastAsia="宋体"/>
                <w:sz w:val="20"/>
              </w:rPr>
              <w:t>6.2小时</w:t>
            </w:r>
          </w:p>
        </w:tc>
        <w:tc>
          <w:tcPr>
            <w:tcW w:w="2153" w:type="dxa"/>
          </w:tcPr>
          <w:p w14:paraId="66845DB9">
            <w:r>
              <w:rPr>
                <w:rFonts w:ascii="Times New Roman" w:hAnsi="Times New Roman" w:eastAsia="宋体"/>
                <w:sz w:val="20"/>
              </w:rPr>
              <w:t>患者在线预约检查时段</w:t>
            </w:r>
          </w:p>
        </w:tc>
      </w:tr>
      <w:tr w14:paraId="6F27CA1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78396578">
            <w:r>
              <w:rPr>
                <w:rFonts w:ascii="Times New Roman" w:hAnsi="Times New Roman" w:eastAsia="宋体"/>
                <w:sz w:val="20"/>
              </w:rPr>
              <w:t>检查完成→报告查看</w:t>
            </w:r>
          </w:p>
        </w:tc>
        <w:tc>
          <w:tcPr>
            <w:tcW w:w="2153" w:type="dxa"/>
          </w:tcPr>
          <w:p w14:paraId="5B62911B">
            <w:r>
              <w:rPr>
                <w:rFonts w:ascii="Times New Roman" w:hAnsi="Times New Roman" w:eastAsia="宋体"/>
                <w:sz w:val="20"/>
              </w:rPr>
              <w:t>3.8小时</w:t>
            </w:r>
          </w:p>
        </w:tc>
        <w:tc>
          <w:tcPr>
            <w:tcW w:w="2153" w:type="dxa"/>
          </w:tcPr>
          <w:p w14:paraId="2BD5AA5F">
            <w:r>
              <w:rPr>
                <w:rFonts w:ascii="Times New Roman" w:hAnsi="Times New Roman" w:eastAsia="宋体"/>
                <w:sz w:val="20"/>
              </w:rPr>
              <w:t>12.5小时</w:t>
            </w:r>
          </w:p>
        </w:tc>
        <w:tc>
          <w:tcPr>
            <w:tcW w:w="2153" w:type="dxa"/>
          </w:tcPr>
          <w:p w14:paraId="04FAA654">
            <w:r>
              <w:rPr>
                <w:rFonts w:ascii="Times New Roman" w:hAnsi="Times New Roman" w:eastAsia="宋体"/>
                <w:sz w:val="20"/>
              </w:rPr>
              <w:t>报告审核上传到患者查看</w:t>
            </w:r>
          </w:p>
        </w:tc>
      </w:tr>
    </w:tbl>
    <w:p w14:paraId="36EEBD01"/>
    <w:p w14:paraId="0289952E">
      <w:pPr>
        <w:spacing w:before="0" w:after="0" w:line="400" w:lineRule="exact"/>
        <w:ind w:firstLine="480"/>
        <w:jc w:val="both"/>
      </w:pPr>
      <w:r>
        <w:rPr>
          <w:rFonts w:ascii="Times New Roman" w:hAnsi="Times New Roman" w:eastAsia="宋体"/>
          <w:b w:val="0"/>
          <w:sz w:val="24"/>
        </w:rPr>
        <w:t>问诊申请到医生接诊的平均等待时间为6.5分钟，但P90值（90%的案例在此时间内完成等待）为15.2分钟，表明约10%的患者等待时间超过15分钟。处方审核通过后患者做出取药选择的平均等待时间为5.1分钟，这一环节的高等待时间可能部分源于患者在比较不同取药方式的性价比后犹豫不决。</w:t>
      </w:r>
    </w:p>
    <w:p w14:paraId="02FA4AC3">
      <w:pPr>
        <w:spacing w:before="240" w:after="120" w:line="240" w:lineRule="auto"/>
        <w:ind w:firstLine="480"/>
        <w:outlineLvl w:val="3"/>
      </w:pPr>
      <w:r>
        <w:rPr>
          <w:rFonts w:ascii="Times New Roman" w:hAnsi="Times New Roman" w:eastAsia="黑体"/>
          <w:b/>
          <w:sz w:val="24"/>
        </w:rPr>
        <w:t>（三）流转次数与返工率</w:t>
      </w:r>
    </w:p>
    <w:p w14:paraId="09198E65">
      <w:pPr>
        <w:spacing w:before="0" w:after="0" w:line="400" w:lineRule="exact"/>
        <w:ind w:firstLine="480"/>
        <w:jc w:val="both"/>
      </w:pPr>
      <w:r>
        <w:rPr>
          <w:rFonts w:ascii="Times New Roman" w:hAnsi="Times New Roman" w:eastAsia="宋体"/>
          <w:b w:val="0"/>
          <w:sz w:val="24"/>
        </w:rPr>
        <w:t>在全部案例中，约6.2%的案例经历了至少一次流程"回退"（即返回上一个已完成的环节）。其中，最常见的回退类型是处方审核不通过导致医生需重新修改处方（占回退案例的72%），其次是问诊过程中患者补充信息导致问诊环节"重新开始"（占回退案例的18%）。返工不仅增加了流程的总耗时，也降低了患者和医生双方的体验满意度。</w:t>
      </w:r>
    </w:p>
    <w:p w14:paraId="40E72FB2">
      <w:pPr>
        <w:spacing w:before="480" w:after="120" w:line="240" w:lineRule="auto"/>
        <w:jc w:val="center"/>
        <w:outlineLvl w:val="1"/>
      </w:pPr>
      <w:bookmarkStart w:id="59" w:name="_Toc19557"/>
      <w:r>
        <w:rPr>
          <w:rFonts w:ascii="Times New Roman" w:hAnsi="Times New Roman" w:eastAsia="黑体"/>
          <w:b/>
          <w:sz w:val="28"/>
        </w:rPr>
        <w:t>第三节　基于AHP的瓶颈优先级评价</w:t>
      </w:r>
      <w:bookmarkEnd w:id="59"/>
    </w:p>
    <w:p w14:paraId="05128824">
      <w:pPr>
        <w:spacing w:before="240" w:after="120" w:line="240" w:lineRule="auto"/>
        <w:ind w:firstLine="520"/>
        <w:outlineLvl w:val="2"/>
      </w:pPr>
      <w:bookmarkStart w:id="60" w:name="_Toc25660"/>
      <w:r>
        <w:rPr>
          <w:rFonts w:ascii="Times New Roman" w:hAnsi="Times New Roman" w:eastAsia="黑体"/>
          <w:b/>
          <w:sz w:val="26"/>
        </w:rPr>
        <w:t>一、判断矩阵构建</w:t>
      </w:r>
      <w:bookmarkEnd w:id="60"/>
    </w:p>
    <w:p w14:paraId="1187B8C4">
      <w:pPr>
        <w:jc w:val="center"/>
      </w:pPr>
      <w:r>
        <w:drawing>
          <wp:inline distT="0" distB="0" distL="114300" distR="114300">
            <wp:extent cx="5039995" cy="3390900"/>
            <wp:effectExtent l="0" t="0" r="13335" b="1206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5"/>
                    <a:stretch>
                      <a:fillRect/>
                    </a:stretch>
                  </pic:blipFill>
                  <pic:spPr>
                    <a:xfrm>
                      <a:off x="0" y="0"/>
                      <a:ext cx="5040000" cy="3391500"/>
                    </a:xfrm>
                    <a:prstGeom prst="rect">
                      <a:avLst/>
                    </a:prstGeom>
                  </pic:spPr>
                </pic:pic>
              </a:graphicData>
            </a:graphic>
          </wp:inline>
        </w:drawing>
      </w:r>
    </w:p>
    <w:p w14:paraId="3050CCC7">
      <w:pPr>
        <w:spacing w:before="0" w:after="0" w:line="400" w:lineRule="exact"/>
        <w:ind w:firstLine="480"/>
        <w:jc w:val="both"/>
      </w:pPr>
      <w:r>
        <w:rPr>
          <w:rFonts w:ascii="Times New Roman" w:hAnsi="Times New Roman" w:eastAsia="宋体"/>
          <w:b w:val="0"/>
          <w:sz w:val="24"/>
        </w:rPr>
        <w:t>图4.6 AHP层次结构</w:t>
      </w:r>
    </w:p>
    <w:p w14:paraId="4A3648AE">
      <w:pPr>
        <w:spacing w:before="0" w:after="0" w:line="400" w:lineRule="exact"/>
        <w:ind w:firstLine="480"/>
        <w:jc w:val="both"/>
      </w:pPr>
      <w:r>
        <w:rPr>
          <w:rFonts w:ascii="Times New Roman" w:hAnsi="Times New Roman" w:eastAsia="宋体"/>
          <w:b w:val="0"/>
          <w:sz w:val="24"/>
        </w:rPr>
        <w:t>基于第二节识别出的流程瓶颈和异常变体，本节运用AHP方法对各瓶颈环节的改进优先级进行定量评价。评价维度采用第四章第一节中确立的五个准则：影响程度（C1）、改造成本（C2）、实施难度（C3）、预期效果（C4）和患者影响（C5）。</w:t>
      </w:r>
    </w:p>
    <w:p w14:paraId="29EEF5EB">
      <w:pPr>
        <w:spacing w:before="0" w:after="0" w:line="400" w:lineRule="exact"/>
        <w:ind w:firstLine="480"/>
        <w:jc w:val="both"/>
      </w:pPr>
      <w:r>
        <w:rPr>
          <w:rFonts w:ascii="Times New Roman" w:hAnsi="Times New Roman" w:eastAsia="宋体"/>
          <w:b w:val="0"/>
          <w:sz w:val="24"/>
        </w:rPr>
        <w:t>首先构建准则层判断矩阵，该矩阵反映了五个评价准则之间的相对重要性。</w:t>
      </w:r>
    </w:p>
    <w:p w14:paraId="0EEB58ED">
      <w:pPr>
        <w:spacing w:before="120" w:after="120" w:line="240" w:lineRule="auto"/>
        <w:jc w:val="center"/>
      </w:pPr>
      <w:r>
        <w:rPr>
          <w:rFonts w:ascii="Times New Roman" w:hAnsi="Times New Roman" w:eastAsia="宋体"/>
          <w:b w:val="0"/>
          <w:sz w:val="21"/>
        </w:rPr>
        <w:t>表4.8　准则层判断矩阵</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435"/>
        <w:gridCol w:w="1435"/>
        <w:gridCol w:w="1435"/>
        <w:gridCol w:w="1435"/>
        <w:gridCol w:w="1435"/>
        <w:gridCol w:w="1435"/>
      </w:tblGrid>
      <w:tr w14:paraId="60F807A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Borders>
              <w:bottom w:val="single" w:color="000000" w:sz="12" w:space="0"/>
            </w:tcBorders>
          </w:tcPr>
          <w:p w14:paraId="47404BB1">
            <w:pPr>
              <w:jc w:val="center"/>
            </w:pPr>
            <w:r>
              <w:rPr>
                <w:rFonts w:ascii="Times New Roman" w:hAnsi="Times New Roman" w:eastAsia="宋体"/>
                <w:b/>
                <w:sz w:val="20"/>
              </w:rPr>
              <w:t>准则</w:t>
            </w:r>
          </w:p>
        </w:tc>
        <w:tc>
          <w:tcPr>
            <w:tcW w:w="1435" w:type="dxa"/>
            <w:tcBorders>
              <w:bottom w:val="single" w:color="000000" w:sz="12" w:space="0"/>
            </w:tcBorders>
          </w:tcPr>
          <w:p w14:paraId="002358EB">
            <w:pPr>
              <w:jc w:val="center"/>
            </w:pPr>
            <w:r>
              <w:rPr>
                <w:rFonts w:ascii="Times New Roman" w:hAnsi="Times New Roman" w:eastAsia="宋体"/>
                <w:b/>
                <w:sz w:val="20"/>
              </w:rPr>
              <w:t>C1影响程度</w:t>
            </w:r>
          </w:p>
        </w:tc>
        <w:tc>
          <w:tcPr>
            <w:tcW w:w="1435" w:type="dxa"/>
            <w:tcBorders>
              <w:bottom w:val="single" w:color="000000" w:sz="12" w:space="0"/>
            </w:tcBorders>
          </w:tcPr>
          <w:p w14:paraId="2BAA1454">
            <w:pPr>
              <w:jc w:val="center"/>
            </w:pPr>
            <w:r>
              <w:rPr>
                <w:rFonts w:ascii="Times New Roman" w:hAnsi="Times New Roman" w:eastAsia="宋体"/>
                <w:b/>
                <w:sz w:val="20"/>
              </w:rPr>
              <w:t>C2改造成本</w:t>
            </w:r>
          </w:p>
        </w:tc>
        <w:tc>
          <w:tcPr>
            <w:tcW w:w="1435" w:type="dxa"/>
            <w:tcBorders>
              <w:bottom w:val="single" w:color="000000" w:sz="12" w:space="0"/>
            </w:tcBorders>
          </w:tcPr>
          <w:p w14:paraId="3D287985">
            <w:pPr>
              <w:jc w:val="center"/>
            </w:pPr>
            <w:r>
              <w:rPr>
                <w:rFonts w:ascii="Times New Roman" w:hAnsi="Times New Roman" w:eastAsia="宋体"/>
                <w:b/>
                <w:sz w:val="20"/>
              </w:rPr>
              <w:t>C3实施难度</w:t>
            </w:r>
          </w:p>
        </w:tc>
        <w:tc>
          <w:tcPr>
            <w:tcW w:w="1435" w:type="dxa"/>
            <w:tcBorders>
              <w:bottom w:val="single" w:color="000000" w:sz="12" w:space="0"/>
            </w:tcBorders>
          </w:tcPr>
          <w:p w14:paraId="3A29C9CF">
            <w:pPr>
              <w:jc w:val="center"/>
            </w:pPr>
            <w:r>
              <w:rPr>
                <w:rFonts w:ascii="Times New Roman" w:hAnsi="Times New Roman" w:eastAsia="宋体"/>
                <w:b/>
                <w:sz w:val="20"/>
              </w:rPr>
              <w:t>C4预期效果</w:t>
            </w:r>
          </w:p>
        </w:tc>
        <w:tc>
          <w:tcPr>
            <w:tcW w:w="1435" w:type="dxa"/>
            <w:tcBorders>
              <w:bottom w:val="single" w:color="000000" w:sz="12" w:space="0"/>
            </w:tcBorders>
          </w:tcPr>
          <w:p w14:paraId="33CC8B58">
            <w:pPr>
              <w:jc w:val="center"/>
            </w:pPr>
            <w:r>
              <w:rPr>
                <w:rFonts w:ascii="Times New Roman" w:hAnsi="Times New Roman" w:eastAsia="宋体"/>
                <w:b/>
                <w:sz w:val="20"/>
              </w:rPr>
              <w:t>C5患者影响</w:t>
            </w:r>
          </w:p>
        </w:tc>
      </w:tr>
      <w:tr w14:paraId="5B7303A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69DABA7">
            <w:r>
              <w:rPr>
                <w:rFonts w:ascii="Times New Roman" w:hAnsi="Times New Roman" w:eastAsia="宋体"/>
                <w:sz w:val="20"/>
              </w:rPr>
              <w:t>C1影响程度</w:t>
            </w:r>
          </w:p>
        </w:tc>
        <w:tc>
          <w:tcPr>
            <w:tcW w:w="1435" w:type="dxa"/>
          </w:tcPr>
          <w:p w14:paraId="7A02A317">
            <w:r>
              <w:rPr>
                <w:rFonts w:ascii="Times New Roman" w:hAnsi="Times New Roman" w:eastAsia="宋体"/>
                <w:sz w:val="20"/>
              </w:rPr>
              <w:t>1</w:t>
            </w:r>
          </w:p>
        </w:tc>
        <w:tc>
          <w:tcPr>
            <w:tcW w:w="1435" w:type="dxa"/>
          </w:tcPr>
          <w:p w14:paraId="25167F2A">
            <w:r>
              <w:rPr>
                <w:rFonts w:ascii="Times New Roman" w:hAnsi="Times New Roman" w:eastAsia="宋体"/>
                <w:sz w:val="20"/>
              </w:rPr>
              <w:t>3</w:t>
            </w:r>
          </w:p>
        </w:tc>
        <w:tc>
          <w:tcPr>
            <w:tcW w:w="1435" w:type="dxa"/>
          </w:tcPr>
          <w:p w14:paraId="4C5D1665">
            <w:r>
              <w:rPr>
                <w:rFonts w:ascii="Times New Roman" w:hAnsi="Times New Roman" w:eastAsia="宋体"/>
                <w:sz w:val="20"/>
              </w:rPr>
              <w:t>4</w:t>
            </w:r>
          </w:p>
        </w:tc>
        <w:tc>
          <w:tcPr>
            <w:tcW w:w="1435" w:type="dxa"/>
          </w:tcPr>
          <w:p w14:paraId="5E6BDACB">
            <w:r>
              <w:rPr>
                <w:rFonts w:ascii="Times New Roman" w:hAnsi="Times New Roman" w:eastAsia="宋体"/>
                <w:sz w:val="20"/>
              </w:rPr>
              <w:t>2</w:t>
            </w:r>
          </w:p>
        </w:tc>
        <w:tc>
          <w:tcPr>
            <w:tcW w:w="1435" w:type="dxa"/>
          </w:tcPr>
          <w:p w14:paraId="34C43B81">
            <w:r>
              <w:rPr>
                <w:rFonts w:ascii="Times New Roman" w:hAnsi="Times New Roman" w:eastAsia="宋体"/>
                <w:sz w:val="20"/>
              </w:rPr>
              <w:t>2</w:t>
            </w:r>
          </w:p>
        </w:tc>
      </w:tr>
      <w:tr w14:paraId="48AC7B7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7778C4A6">
            <w:r>
              <w:rPr>
                <w:rFonts w:ascii="Times New Roman" w:hAnsi="Times New Roman" w:eastAsia="宋体"/>
                <w:sz w:val="20"/>
              </w:rPr>
              <w:t>C2改造成本</w:t>
            </w:r>
          </w:p>
        </w:tc>
        <w:tc>
          <w:tcPr>
            <w:tcW w:w="1435" w:type="dxa"/>
          </w:tcPr>
          <w:p w14:paraId="63B20413">
            <w:r>
              <w:rPr>
                <w:rFonts w:ascii="Times New Roman" w:hAnsi="Times New Roman" w:eastAsia="宋体"/>
                <w:sz w:val="20"/>
              </w:rPr>
              <w:t>1/3</w:t>
            </w:r>
          </w:p>
        </w:tc>
        <w:tc>
          <w:tcPr>
            <w:tcW w:w="1435" w:type="dxa"/>
          </w:tcPr>
          <w:p w14:paraId="0357DA8A">
            <w:r>
              <w:rPr>
                <w:rFonts w:ascii="Times New Roman" w:hAnsi="Times New Roman" w:eastAsia="宋体"/>
                <w:sz w:val="20"/>
              </w:rPr>
              <w:t>1</w:t>
            </w:r>
          </w:p>
        </w:tc>
        <w:tc>
          <w:tcPr>
            <w:tcW w:w="1435" w:type="dxa"/>
          </w:tcPr>
          <w:p w14:paraId="04B90CB0">
            <w:r>
              <w:rPr>
                <w:rFonts w:ascii="Times New Roman" w:hAnsi="Times New Roman" w:eastAsia="宋体"/>
                <w:sz w:val="20"/>
              </w:rPr>
              <w:t>2</w:t>
            </w:r>
          </w:p>
        </w:tc>
        <w:tc>
          <w:tcPr>
            <w:tcW w:w="1435" w:type="dxa"/>
          </w:tcPr>
          <w:p w14:paraId="689BC730">
            <w:r>
              <w:rPr>
                <w:rFonts w:ascii="Times New Roman" w:hAnsi="Times New Roman" w:eastAsia="宋体"/>
                <w:sz w:val="20"/>
              </w:rPr>
              <w:t>1/2</w:t>
            </w:r>
          </w:p>
        </w:tc>
        <w:tc>
          <w:tcPr>
            <w:tcW w:w="1435" w:type="dxa"/>
          </w:tcPr>
          <w:p w14:paraId="2C33A375">
            <w:r>
              <w:rPr>
                <w:rFonts w:ascii="Times New Roman" w:hAnsi="Times New Roman" w:eastAsia="宋体"/>
                <w:sz w:val="20"/>
              </w:rPr>
              <w:t>1/2</w:t>
            </w:r>
          </w:p>
        </w:tc>
      </w:tr>
      <w:tr w14:paraId="5E16B9D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2A5A79EE">
            <w:r>
              <w:rPr>
                <w:rFonts w:ascii="Times New Roman" w:hAnsi="Times New Roman" w:eastAsia="宋体"/>
                <w:sz w:val="20"/>
              </w:rPr>
              <w:t>C3实施难度</w:t>
            </w:r>
          </w:p>
        </w:tc>
        <w:tc>
          <w:tcPr>
            <w:tcW w:w="1435" w:type="dxa"/>
          </w:tcPr>
          <w:p w14:paraId="1A306277">
            <w:r>
              <w:rPr>
                <w:rFonts w:ascii="Times New Roman" w:hAnsi="Times New Roman" w:eastAsia="宋体"/>
                <w:sz w:val="20"/>
              </w:rPr>
              <w:t>1/4</w:t>
            </w:r>
          </w:p>
        </w:tc>
        <w:tc>
          <w:tcPr>
            <w:tcW w:w="1435" w:type="dxa"/>
          </w:tcPr>
          <w:p w14:paraId="7EA341C3">
            <w:r>
              <w:rPr>
                <w:rFonts w:ascii="Times New Roman" w:hAnsi="Times New Roman" w:eastAsia="宋体"/>
                <w:sz w:val="20"/>
              </w:rPr>
              <w:t>1/2</w:t>
            </w:r>
          </w:p>
        </w:tc>
        <w:tc>
          <w:tcPr>
            <w:tcW w:w="1435" w:type="dxa"/>
          </w:tcPr>
          <w:p w14:paraId="78F7E722">
            <w:r>
              <w:rPr>
                <w:rFonts w:ascii="Times New Roman" w:hAnsi="Times New Roman" w:eastAsia="宋体"/>
                <w:sz w:val="20"/>
              </w:rPr>
              <w:t>1</w:t>
            </w:r>
          </w:p>
        </w:tc>
        <w:tc>
          <w:tcPr>
            <w:tcW w:w="1435" w:type="dxa"/>
          </w:tcPr>
          <w:p w14:paraId="2495A397">
            <w:r>
              <w:rPr>
                <w:rFonts w:ascii="Times New Roman" w:hAnsi="Times New Roman" w:eastAsia="宋体"/>
                <w:sz w:val="20"/>
              </w:rPr>
              <w:t>1/3</w:t>
            </w:r>
          </w:p>
        </w:tc>
        <w:tc>
          <w:tcPr>
            <w:tcW w:w="1435" w:type="dxa"/>
          </w:tcPr>
          <w:p w14:paraId="0F1A09D6">
            <w:r>
              <w:rPr>
                <w:rFonts w:ascii="Times New Roman" w:hAnsi="Times New Roman" w:eastAsia="宋体"/>
                <w:sz w:val="20"/>
              </w:rPr>
              <w:t>1/3</w:t>
            </w:r>
          </w:p>
        </w:tc>
      </w:tr>
      <w:tr w14:paraId="10AAA77E">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6182E835">
            <w:r>
              <w:rPr>
                <w:rFonts w:ascii="Times New Roman" w:hAnsi="Times New Roman" w:eastAsia="宋体"/>
                <w:sz w:val="20"/>
              </w:rPr>
              <w:t>C4预期效果</w:t>
            </w:r>
          </w:p>
        </w:tc>
        <w:tc>
          <w:tcPr>
            <w:tcW w:w="1435" w:type="dxa"/>
          </w:tcPr>
          <w:p w14:paraId="6C08F269">
            <w:r>
              <w:rPr>
                <w:rFonts w:ascii="Times New Roman" w:hAnsi="Times New Roman" w:eastAsia="宋体"/>
                <w:sz w:val="20"/>
              </w:rPr>
              <w:t>1/2</w:t>
            </w:r>
          </w:p>
        </w:tc>
        <w:tc>
          <w:tcPr>
            <w:tcW w:w="1435" w:type="dxa"/>
          </w:tcPr>
          <w:p w14:paraId="40B18E75">
            <w:r>
              <w:rPr>
                <w:rFonts w:ascii="Times New Roman" w:hAnsi="Times New Roman" w:eastAsia="宋体"/>
                <w:sz w:val="20"/>
              </w:rPr>
              <w:t>2</w:t>
            </w:r>
          </w:p>
        </w:tc>
        <w:tc>
          <w:tcPr>
            <w:tcW w:w="1435" w:type="dxa"/>
          </w:tcPr>
          <w:p w14:paraId="311D9158">
            <w:r>
              <w:rPr>
                <w:rFonts w:ascii="Times New Roman" w:hAnsi="Times New Roman" w:eastAsia="宋体"/>
                <w:sz w:val="20"/>
              </w:rPr>
              <w:t>3</w:t>
            </w:r>
          </w:p>
        </w:tc>
        <w:tc>
          <w:tcPr>
            <w:tcW w:w="1435" w:type="dxa"/>
          </w:tcPr>
          <w:p w14:paraId="4FC547E2">
            <w:r>
              <w:rPr>
                <w:rFonts w:ascii="Times New Roman" w:hAnsi="Times New Roman" w:eastAsia="宋体"/>
                <w:sz w:val="20"/>
              </w:rPr>
              <w:t>1</w:t>
            </w:r>
          </w:p>
        </w:tc>
        <w:tc>
          <w:tcPr>
            <w:tcW w:w="1435" w:type="dxa"/>
          </w:tcPr>
          <w:p w14:paraId="1210CC5B">
            <w:r>
              <w:rPr>
                <w:rFonts w:ascii="Times New Roman" w:hAnsi="Times New Roman" w:eastAsia="宋体"/>
                <w:sz w:val="20"/>
              </w:rPr>
              <w:t>1</w:t>
            </w:r>
          </w:p>
        </w:tc>
      </w:tr>
      <w:tr w14:paraId="0EEAE9F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435" w:type="dxa"/>
          </w:tcPr>
          <w:p w14:paraId="16369706">
            <w:r>
              <w:rPr>
                <w:rFonts w:ascii="Times New Roman" w:hAnsi="Times New Roman" w:eastAsia="宋体"/>
                <w:sz w:val="20"/>
              </w:rPr>
              <w:t>C5患者影响</w:t>
            </w:r>
          </w:p>
        </w:tc>
        <w:tc>
          <w:tcPr>
            <w:tcW w:w="1435" w:type="dxa"/>
          </w:tcPr>
          <w:p w14:paraId="4C01DF68">
            <w:r>
              <w:rPr>
                <w:rFonts w:ascii="Times New Roman" w:hAnsi="Times New Roman" w:eastAsia="宋体"/>
                <w:sz w:val="20"/>
              </w:rPr>
              <w:t>1/2</w:t>
            </w:r>
          </w:p>
        </w:tc>
        <w:tc>
          <w:tcPr>
            <w:tcW w:w="1435" w:type="dxa"/>
          </w:tcPr>
          <w:p w14:paraId="43A8F087">
            <w:r>
              <w:rPr>
                <w:rFonts w:ascii="Times New Roman" w:hAnsi="Times New Roman" w:eastAsia="宋体"/>
                <w:sz w:val="20"/>
              </w:rPr>
              <w:t>2</w:t>
            </w:r>
          </w:p>
        </w:tc>
        <w:tc>
          <w:tcPr>
            <w:tcW w:w="1435" w:type="dxa"/>
          </w:tcPr>
          <w:p w14:paraId="687528A4">
            <w:r>
              <w:rPr>
                <w:rFonts w:ascii="Times New Roman" w:hAnsi="Times New Roman" w:eastAsia="宋体"/>
                <w:sz w:val="20"/>
              </w:rPr>
              <w:t>3</w:t>
            </w:r>
          </w:p>
        </w:tc>
        <w:tc>
          <w:tcPr>
            <w:tcW w:w="1435" w:type="dxa"/>
          </w:tcPr>
          <w:p w14:paraId="4E612D1A">
            <w:r>
              <w:rPr>
                <w:rFonts w:ascii="Times New Roman" w:hAnsi="Times New Roman" w:eastAsia="宋体"/>
                <w:sz w:val="20"/>
              </w:rPr>
              <w:t>1</w:t>
            </w:r>
          </w:p>
        </w:tc>
        <w:tc>
          <w:tcPr>
            <w:tcW w:w="1435" w:type="dxa"/>
          </w:tcPr>
          <w:p w14:paraId="5573E3B1">
            <w:r>
              <w:rPr>
                <w:rFonts w:ascii="Times New Roman" w:hAnsi="Times New Roman" w:eastAsia="宋体"/>
                <w:sz w:val="20"/>
              </w:rPr>
              <w:t>1</w:t>
            </w:r>
          </w:p>
        </w:tc>
      </w:tr>
    </w:tbl>
    <w:p w14:paraId="42471A2E"/>
    <w:p w14:paraId="3CD242D5">
      <w:pPr>
        <w:spacing w:before="240" w:after="120" w:line="240" w:lineRule="auto"/>
        <w:ind w:firstLine="520"/>
        <w:outlineLvl w:val="2"/>
      </w:pPr>
      <w:bookmarkStart w:id="61" w:name="_Toc1776"/>
      <w:r>
        <w:rPr>
          <w:rFonts w:ascii="Times New Roman" w:hAnsi="Times New Roman" w:eastAsia="黑体"/>
          <w:b/>
          <w:sz w:val="26"/>
        </w:rPr>
        <w:t>二、权重计算与一致性检验</w:t>
      </w:r>
      <w:bookmarkEnd w:id="61"/>
    </w:p>
    <w:p w14:paraId="6D8913E5">
      <w:pPr>
        <w:spacing w:before="0" w:after="0" w:line="400" w:lineRule="exact"/>
        <w:ind w:firstLine="480"/>
        <w:jc w:val="both"/>
      </w:pPr>
      <w:r>
        <w:rPr>
          <w:rFonts w:ascii="Times New Roman" w:hAnsi="Times New Roman" w:eastAsia="宋体"/>
          <w:b w:val="0"/>
          <w:sz w:val="24"/>
        </w:rPr>
        <w:t>对判断矩阵进行特征向量计算，得到各准则的权重向量。</w:t>
      </w:r>
    </w:p>
    <w:p w14:paraId="56E397C9">
      <w:pPr>
        <w:spacing w:before="0" w:after="0" w:line="400" w:lineRule="exact"/>
        <w:ind w:firstLine="480"/>
        <w:jc w:val="both"/>
      </w:pPr>
      <w:r>
        <w:rPr>
          <w:rFonts w:ascii="Times New Roman" w:hAnsi="Times New Roman" w:eastAsia="宋体"/>
          <w:b w:val="0"/>
          <w:sz w:val="24"/>
        </w:rPr>
        <w:t>计算过程并不复杂：先算出判断矩阵每一列的列和，用矩阵元素除以所在列的列和，得到归一化矩阵；再对归一化矩阵的每一行求平均值，即为该行对应准则的权重。</w:t>
      </w:r>
    </w:p>
    <w:p w14:paraId="7A9B2A4B">
      <w:pPr>
        <w:spacing w:before="120" w:after="120" w:line="240" w:lineRule="auto"/>
        <w:jc w:val="center"/>
      </w:pPr>
      <w:r>
        <w:rPr>
          <w:rFonts w:ascii="Times New Roman" w:hAnsi="Times New Roman" w:eastAsia="宋体"/>
          <w:b w:val="0"/>
          <w:sz w:val="21"/>
        </w:rPr>
        <w:t>表4.9　准则权重计算结果</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871"/>
        <w:gridCol w:w="2871"/>
        <w:gridCol w:w="2871"/>
      </w:tblGrid>
      <w:tr w14:paraId="5889853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Borders>
              <w:bottom w:val="single" w:color="000000" w:sz="12" w:space="0"/>
            </w:tcBorders>
          </w:tcPr>
          <w:p w14:paraId="598F242E">
            <w:pPr>
              <w:jc w:val="center"/>
            </w:pPr>
            <w:r>
              <w:rPr>
                <w:rFonts w:ascii="Times New Roman" w:hAnsi="Times New Roman" w:eastAsia="宋体"/>
                <w:b/>
                <w:sz w:val="20"/>
              </w:rPr>
              <w:t>准则</w:t>
            </w:r>
          </w:p>
        </w:tc>
        <w:tc>
          <w:tcPr>
            <w:tcW w:w="2871" w:type="dxa"/>
            <w:tcBorders>
              <w:bottom w:val="single" w:color="000000" w:sz="12" w:space="0"/>
            </w:tcBorders>
          </w:tcPr>
          <w:p w14:paraId="25234685">
            <w:pPr>
              <w:jc w:val="center"/>
            </w:pPr>
            <w:r>
              <w:rPr>
                <w:rFonts w:ascii="Times New Roman" w:hAnsi="Times New Roman" w:eastAsia="宋体"/>
                <w:b/>
                <w:sz w:val="20"/>
              </w:rPr>
              <w:t>权重（w）</w:t>
            </w:r>
          </w:p>
        </w:tc>
        <w:tc>
          <w:tcPr>
            <w:tcW w:w="2871" w:type="dxa"/>
            <w:tcBorders>
              <w:bottom w:val="single" w:color="000000" w:sz="12" w:space="0"/>
            </w:tcBorders>
          </w:tcPr>
          <w:p w14:paraId="61A396E0">
            <w:pPr>
              <w:jc w:val="center"/>
            </w:pPr>
            <w:r>
              <w:rPr>
                <w:rFonts w:ascii="Times New Roman" w:hAnsi="Times New Roman" w:eastAsia="宋体"/>
                <w:b/>
                <w:sz w:val="20"/>
              </w:rPr>
              <w:t>说明</w:t>
            </w:r>
          </w:p>
        </w:tc>
      </w:tr>
      <w:tr w14:paraId="30710EC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B70C2B5">
            <w:r>
              <w:rPr>
                <w:rFonts w:ascii="Times New Roman" w:hAnsi="Times New Roman" w:eastAsia="宋体"/>
                <w:sz w:val="20"/>
              </w:rPr>
              <w:t>C1 影响程度</w:t>
            </w:r>
          </w:p>
        </w:tc>
        <w:tc>
          <w:tcPr>
            <w:tcW w:w="2871" w:type="dxa"/>
          </w:tcPr>
          <w:p w14:paraId="2901C359">
            <w:r>
              <w:rPr>
                <w:rFonts w:ascii="Times New Roman" w:hAnsi="Times New Roman" w:eastAsia="宋体"/>
                <w:sz w:val="20"/>
              </w:rPr>
              <w:t>0.367</w:t>
            </w:r>
          </w:p>
        </w:tc>
        <w:tc>
          <w:tcPr>
            <w:tcW w:w="2871" w:type="dxa"/>
          </w:tcPr>
          <w:p w14:paraId="0832FADA">
            <w:r>
              <w:rPr>
                <w:rFonts w:ascii="Times New Roman" w:hAnsi="Times New Roman" w:eastAsia="宋体"/>
                <w:sz w:val="20"/>
              </w:rPr>
              <w:t>瓶颈对整体流程的影响大小</w:t>
            </w:r>
          </w:p>
        </w:tc>
      </w:tr>
      <w:tr w14:paraId="7453CAD6">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29B05436">
            <w:r>
              <w:rPr>
                <w:rFonts w:ascii="Times New Roman" w:hAnsi="Times New Roman" w:eastAsia="宋体"/>
                <w:sz w:val="20"/>
              </w:rPr>
              <w:t>C2 改造成本</w:t>
            </w:r>
          </w:p>
        </w:tc>
        <w:tc>
          <w:tcPr>
            <w:tcW w:w="2871" w:type="dxa"/>
          </w:tcPr>
          <w:p w14:paraId="70AD93F1">
            <w:r>
              <w:rPr>
                <w:rFonts w:ascii="Times New Roman" w:hAnsi="Times New Roman" w:eastAsia="宋体"/>
                <w:sz w:val="20"/>
              </w:rPr>
              <w:t>0.109</w:t>
            </w:r>
          </w:p>
        </w:tc>
        <w:tc>
          <w:tcPr>
            <w:tcW w:w="2871" w:type="dxa"/>
          </w:tcPr>
          <w:p w14:paraId="08C45290">
            <w:r>
              <w:rPr>
                <w:rFonts w:ascii="Times New Roman" w:hAnsi="Times New Roman" w:eastAsia="宋体"/>
                <w:sz w:val="20"/>
              </w:rPr>
              <w:t>改进所需资源投入</w:t>
            </w:r>
          </w:p>
        </w:tc>
      </w:tr>
      <w:tr w14:paraId="0D89390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468671BF">
            <w:r>
              <w:rPr>
                <w:rFonts w:ascii="Times New Roman" w:hAnsi="Times New Roman" w:eastAsia="宋体"/>
                <w:sz w:val="20"/>
              </w:rPr>
              <w:t>C3 实施难度</w:t>
            </w:r>
          </w:p>
        </w:tc>
        <w:tc>
          <w:tcPr>
            <w:tcW w:w="2871" w:type="dxa"/>
          </w:tcPr>
          <w:p w14:paraId="34C87538">
            <w:r>
              <w:rPr>
                <w:rFonts w:ascii="Times New Roman" w:hAnsi="Times New Roman" w:eastAsia="宋体"/>
                <w:sz w:val="20"/>
              </w:rPr>
              <w:t>0.068</w:t>
            </w:r>
          </w:p>
        </w:tc>
        <w:tc>
          <w:tcPr>
            <w:tcW w:w="2871" w:type="dxa"/>
          </w:tcPr>
          <w:p w14:paraId="271C8BD5">
            <w:r>
              <w:rPr>
                <w:rFonts w:ascii="Times New Roman" w:hAnsi="Times New Roman" w:eastAsia="宋体"/>
                <w:sz w:val="20"/>
              </w:rPr>
              <w:t>技术复杂度和协调难度</w:t>
            </w:r>
          </w:p>
        </w:tc>
      </w:tr>
      <w:tr w14:paraId="377F0A6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637239D9">
            <w:r>
              <w:rPr>
                <w:rFonts w:ascii="Times New Roman" w:hAnsi="Times New Roman" w:eastAsia="宋体"/>
                <w:sz w:val="20"/>
              </w:rPr>
              <w:t>C4 预期效果</w:t>
            </w:r>
          </w:p>
        </w:tc>
        <w:tc>
          <w:tcPr>
            <w:tcW w:w="2871" w:type="dxa"/>
          </w:tcPr>
          <w:p w14:paraId="097663CE">
            <w:r>
              <w:rPr>
                <w:rFonts w:ascii="Times New Roman" w:hAnsi="Times New Roman" w:eastAsia="宋体"/>
                <w:sz w:val="20"/>
              </w:rPr>
              <w:t>0.228</w:t>
            </w:r>
          </w:p>
        </w:tc>
        <w:tc>
          <w:tcPr>
            <w:tcW w:w="2871" w:type="dxa"/>
          </w:tcPr>
          <w:p w14:paraId="5486786B">
            <w:r>
              <w:rPr>
                <w:rFonts w:ascii="Times New Roman" w:hAnsi="Times New Roman" w:eastAsia="宋体"/>
                <w:sz w:val="20"/>
              </w:rPr>
              <w:t>改进后的效率提升幅度</w:t>
            </w:r>
          </w:p>
        </w:tc>
      </w:tr>
      <w:tr w14:paraId="74A64CD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65BA88DF">
            <w:r>
              <w:rPr>
                <w:rFonts w:ascii="Times New Roman" w:hAnsi="Times New Roman" w:eastAsia="宋体"/>
                <w:sz w:val="20"/>
              </w:rPr>
              <w:t>C5 患者影响</w:t>
            </w:r>
          </w:p>
        </w:tc>
        <w:tc>
          <w:tcPr>
            <w:tcW w:w="2871" w:type="dxa"/>
          </w:tcPr>
          <w:p w14:paraId="4AC6BAF3">
            <w:r>
              <w:rPr>
                <w:rFonts w:ascii="Times New Roman" w:hAnsi="Times New Roman" w:eastAsia="宋体"/>
                <w:sz w:val="20"/>
              </w:rPr>
              <w:t>0.228</w:t>
            </w:r>
          </w:p>
        </w:tc>
        <w:tc>
          <w:tcPr>
            <w:tcW w:w="2871" w:type="dxa"/>
          </w:tcPr>
          <w:p w14:paraId="4767CDEB">
            <w:r>
              <w:rPr>
                <w:rFonts w:ascii="Times New Roman" w:hAnsi="Times New Roman" w:eastAsia="宋体"/>
                <w:sz w:val="20"/>
              </w:rPr>
              <w:t>患者体验的改善程度</w:t>
            </w:r>
          </w:p>
        </w:tc>
      </w:tr>
      <w:tr w14:paraId="3C3CEFD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871" w:type="dxa"/>
          </w:tcPr>
          <w:p w14:paraId="6D004006">
            <w:pPr>
              <w:rPr>
                <w:rFonts w:hint="eastAsia" w:eastAsia="宋体"/>
                <w:lang w:eastAsia="zh-CN"/>
              </w:rPr>
            </w:pPr>
            <w:r>
              <w:rPr>
                <w:rFonts w:ascii="Times New Roman" w:hAnsi="Times New Roman" w:eastAsia="宋体"/>
                <w:sz w:val="20"/>
              </w:rPr>
              <w:t>合计</w:t>
            </w:r>
          </w:p>
        </w:tc>
        <w:tc>
          <w:tcPr>
            <w:tcW w:w="2871" w:type="dxa"/>
          </w:tcPr>
          <w:p w14:paraId="71B919B7">
            <w:pPr>
              <w:rPr>
                <w:rFonts w:hint="eastAsia" w:eastAsia="宋体"/>
                <w:lang w:eastAsia="zh-CN"/>
              </w:rPr>
            </w:pPr>
            <w:r>
              <w:rPr>
                <w:rFonts w:ascii="Times New Roman" w:hAnsi="Times New Roman" w:eastAsia="宋体"/>
                <w:sz w:val="20"/>
              </w:rPr>
              <w:t>1.000</w:t>
            </w:r>
          </w:p>
        </w:tc>
        <w:tc>
          <w:tcPr>
            <w:tcW w:w="2871" w:type="dxa"/>
          </w:tcPr>
          <w:p w14:paraId="7DFEB1DA">
            <w:r>
              <w:rPr>
                <w:rFonts w:ascii="Times New Roman" w:hAnsi="Times New Roman" w:eastAsia="宋体"/>
                <w:sz w:val="20"/>
              </w:rPr>
              <w:t>-</w:t>
            </w:r>
          </w:p>
        </w:tc>
      </w:tr>
    </w:tbl>
    <w:p w14:paraId="17752941"/>
    <w:p w14:paraId="7806A371">
      <w:pPr>
        <w:spacing w:before="0" w:after="0" w:line="400" w:lineRule="exact"/>
        <w:ind w:firstLine="480"/>
        <w:jc w:val="both"/>
      </w:pPr>
      <w:r>
        <w:rPr>
          <w:rFonts w:ascii="Times New Roman" w:hAnsi="Times New Roman" w:eastAsia="宋体"/>
          <w:b w:val="0"/>
          <w:sz w:val="24"/>
        </w:rPr>
        <w:t>接下来进行一致性检验。计算判断矩阵的最大特征值λmax≈5.058。一致性指标CI = (5.058 - 5) / (5 - 1) = 0.0145。当n=5时，查表得随机一致性指标RI=1.12。一致性比率CR = 0.0145 / 1.12 = 0.013 &lt; 0.10，判断矩阵通过一致性检验，表明各准则间的两两比较不存在明显的逻辑矛盾。</w:t>
      </w:r>
    </w:p>
    <w:p w14:paraId="2A86C2F1">
      <w:pPr>
        <w:spacing w:before="240" w:after="120" w:line="240" w:lineRule="auto"/>
        <w:ind w:firstLine="520"/>
        <w:outlineLvl w:val="2"/>
      </w:pPr>
      <w:bookmarkStart w:id="62" w:name="_Toc1752"/>
      <w:r>
        <w:rPr>
          <w:rFonts w:ascii="Times New Roman" w:hAnsi="Times New Roman" w:eastAsia="黑体"/>
          <w:b/>
          <w:sz w:val="26"/>
        </w:rPr>
        <w:t>三、瓶颈环节排序与优先改进领域</w:t>
      </w:r>
      <w:bookmarkEnd w:id="62"/>
    </w:p>
    <w:p w14:paraId="1477CB2B">
      <w:pPr>
        <w:spacing w:before="0" w:after="0" w:line="400" w:lineRule="exact"/>
        <w:ind w:firstLine="480"/>
        <w:jc w:val="both"/>
      </w:pPr>
      <w:r>
        <w:rPr>
          <w:rFonts w:ascii="Times New Roman" w:hAnsi="Times New Roman" w:eastAsia="宋体"/>
          <w:b w:val="0"/>
          <w:sz w:val="24"/>
        </w:rPr>
        <w:t>对第二节中识别出的六个主要瓶颈环节，在各准则下分别构建方案层判断矩阵。判断矩阵由集团运营管理部、医务部和信息中心的5名管理人员基于1-9标度法进行两两比较后构建，采用方根法求解并归一化，得到各瓶颈在每个准则下的得分（每个准则下六个瓶颈的得分之和为1）；各瓶颈的综合优先级得分为其准则层得分与准则权重的加权和。表4.10同时列示各准则层得分与综合排序结果。</w:t>
      </w:r>
    </w:p>
    <w:p w14:paraId="6E5CE491">
      <w:pPr>
        <w:spacing w:before="120" w:after="120" w:line="240" w:lineRule="auto"/>
        <w:jc w:val="center"/>
      </w:pPr>
      <w:r>
        <w:rPr>
          <w:rFonts w:ascii="Times New Roman" w:hAnsi="Times New Roman" w:eastAsia="宋体"/>
          <w:b w:val="0"/>
          <w:sz w:val="21"/>
        </w:rPr>
        <w:t>表4.10　瓶颈环节AHP综合排序（含准则层得分）</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957"/>
        <w:gridCol w:w="957"/>
        <w:gridCol w:w="957"/>
        <w:gridCol w:w="957"/>
        <w:gridCol w:w="957"/>
        <w:gridCol w:w="957"/>
        <w:gridCol w:w="957"/>
        <w:gridCol w:w="957"/>
        <w:gridCol w:w="957"/>
      </w:tblGrid>
      <w:tr w14:paraId="7C8BFE1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Borders>
              <w:bottom w:val="single" w:color="000000" w:sz="12" w:space="0"/>
            </w:tcBorders>
          </w:tcPr>
          <w:p w14:paraId="249AF270">
            <w:pPr>
              <w:jc w:val="center"/>
            </w:pPr>
            <w:r>
              <w:rPr>
                <w:rFonts w:ascii="Times New Roman" w:hAnsi="Times New Roman" w:eastAsia="宋体"/>
                <w:b/>
                <w:sz w:val="20"/>
              </w:rPr>
              <w:t>排名</w:t>
            </w:r>
          </w:p>
        </w:tc>
        <w:tc>
          <w:tcPr>
            <w:tcW w:w="957" w:type="dxa"/>
            <w:tcBorders>
              <w:bottom w:val="single" w:color="000000" w:sz="12" w:space="0"/>
            </w:tcBorders>
          </w:tcPr>
          <w:p w14:paraId="2729001D">
            <w:pPr>
              <w:jc w:val="center"/>
            </w:pPr>
            <w:r>
              <w:rPr>
                <w:rFonts w:ascii="Times New Roman" w:hAnsi="Times New Roman" w:eastAsia="宋体"/>
                <w:b/>
                <w:sz w:val="20"/>
              </w:rPr>
              <w:t>瓶颈环节</w:t>
            </w:r>
          </w:p>
        </w:tc>
        <w:tc>
          <w:tcPr>
            <w:tcW w:w="957" w:type="dxa"/>
            <w:tcBorders>
              <w:bottom w:val="single" w:color="000000" w:sz="12" w:space="0"/>
            </w:tcBorders>
          </w:tcPr>
          <w:p w14:paraId="2F4D5282">
            <w:pPr>
              <w:jc w:val="center"/>
            </w:pPr>
            <w:r>
              <w:rPr>
                <w:rFonts w:ascii="Times New Roman" w:hAnsi="Times New Roman" w:eastAsia="宋体"/>
                <w:b/>
                <w:sz w:val="20"/>
              </w:rPr>
              <w:t>C1影响程度</w:t>
            </w:r>
          </w:p>
        </w:tc>
        <w:tc>
          <w:tcPr>
            <w:tcW w:w="957" w:type="dxa"/>
            <w:tcBorders>
              <w:bottom w:val="single" w:color="000000" w:sz="12" w:space="0"/>
            </w:tcBorders>
          </w:tcPr>
          <w:p w14:paraId="041205A2">
            <w:pPr>
              <w:jc w:val="center"/>
            </w:pPr>
            <w:r>
              <w:rPr>
                <w:rFonts w:ascii="Times New Roman" w:hAnsi="Times New Roman" w:eastAsia="宋体"/>
                <w:b/>
                <w:sz w:val="20"/>
              </w:rPr>
              <w:t>C2改造成本</w:t>
            </w:r>
          </w:p>
        </w:tc>
        <w:tc>
          <w:tcPr>
            <w:tcW w:w="957" w:type="dxa"/>
            <w:tcBorders>
              <w:bottom w:val="single" w:color="000000" w:sz="12" w:space="0"/>
            </w:tcBorders>
          </w:tcPr>
          <w:p w14:paraId="2E46DF15">
            <w:pPr>
              <w:jc w:val="center"/>
            </w:pPr>
            <w:r>
              <w:rPr>
                <w:rFonts w:ascii="Times New Roman" w:hAnsi="Times New Roman" w:eastAsia="宋体"/>
                <w:b/>
                <w:sz w:val="20"/>
              </w:rPr>
              <w:t>C3实施难度</w:t>
            </w:r>
          </w:p>
        </w:tc>
        <w:tc>
          <w:tcPr>
            <w:tcW w:w="957" w:type="dxa"/>
            <w:tcBorders>
              <w:bottom w:val="single" w:color="000000" w:sz="12" w:space="0"/>
            </w:tcBorders>
          </w:tcPr>
          <w:p w14:paraId="369DF789">
            <w:pPr>
              <w:jc w:val="center"/>
            </w:pPr>
            <w:r>
              <w:rPr>
                <w:rFonts w:ascii="Times New Roman" w:hAnsi="Times New Roman" w:eastAsia="宋体"/>
                <w:b/>
                <w:sz w:val="20"/>
              </w:rPr>
              <w:t>C4预期效果</w:t>
            </w:r>
          </w:p>
        </w:tc>
        <w:tc>
          <w:tcPr>
            <w:tcW w:w="957" w:type="dxa"/>
            <w:tcBorders>
              <w:bottom w:val="single" w:color="000000" w:sz="12" w:space="0"/>
            </w:tcBorders>
          </w:tcPr>
          <w:p w14:paraId="00AB0673">
            <w:pPr>
              <w:jc w:val="center"/>
            </w:pPr>
            <w:r>
              <w:rPr>
                <w:rFonts w:ascii="Times New Roman" w:hAnsi="Times New Roman" w:eastAsia="宋体"/>
                <w:b/>
                <w:sz w:val="20"/>
              </w:rPr>
              <w:t>C5患者影响</w:t>
            </w:r>
          </w:p>
        </w:tc>
        <w:tc>
          <w:tcPr>
            <w:tcW w:w="957" w:type="dxa"/>
            <w:tcBorders>
              <w:bottom w:val="single" w:color="000000" w:sz="12" w:space="0"/>
            </w:tcBorders>
          </w:tcPr>
          <w:p w14:paraId="01DD1847">
            <w:pPr>
              <w:jc w:val="center"/>
            </w:pPr>
            <w:r>
              <w:rPr>
                <w:rFonts w:ascii="Times New Roman" w:hAnsi="Times New Roman" w:eastAsia="宋体"/>
                <w:b/>
                <w:sz w:val="20"/>
              </w:rPr>
              <w:t>综合得分</w:t>
            </w:r>
          </w:p>
        </w:tc>
        <w:tc>
          <w:tcPr>
            <w:tcW w:w="957" w:type="dxa"/>
            <w:tcBorders>
              <w:bottom w:val="single" w:color="000000" w:sz="12" w:space="0"/>
            </w:tcBorders>
          </w:tcPr>
          <w:p w14:paraId="71893B60">
            <w:pPr>
              <w:jc w:val="center"/>
            </w:pPr>
            <w:r>
              <w:rPr>
                <w:rFonts w:ascii="Times New Roman" w:hAnsi="Times New Roman" w:eastAsia="宋体"/>
                <w:b/>
                <w:sz w:val="20"/>
              </w:rPr>
              <w:t>关键影响维度</w:t>
            </w:r>
          </w:p>
        </w:tc>
      </w:tr>
      <w:tr w14:paraId="0AA9ED7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639EDC03">
            <w:r>
              <w:rPr>
                <w:rFonts w:ascii="Times New Roman" w:hAnsi="Times New Roman" w:eastAsia="宋体"/>
                <w:sz w:val="20"/>
              </w:rPr>
              <w:t>1</w:t>
            </w:r>
          </w:p>
        </w:tc>
        <w:tc>
          <w:tcPr>
            <w:tcW w:w="957" w:type="dxa"/>
          </w:tcPr>
          <w:p w14:paraId="2C308950">
            <w:r>
              <w:rPr>
                <w:rFonts w:ascii="Times New Roman" w:hAnsi="Times New Roman" w:eastAsia="宋体"/>
                <w:sz w:val="20"/>
              </w:rPr>
              <w:t>B1 处方→线下检查衔接断点</w:t>
            </w:r>
          </w:p>
        </w:tc>
        <w:tc>
          <w:tcPr>
            <w:tcW w:w="957" w:type="dxa"/>
          </w:tcPr>
          <w:p w14:paraId="4AE73AA5">
            <w:r>
              <w:rPr>
                <w:rFonts w:ascii="Times New Roman" w:hAnsi="Times New Roman" w:eastAsia="宋体"/>
                <w:sz w:val="20"/>
              </w:rPr>
              <w:t>0.267</w:t>
            </w:r>
          </w:p>
        </w:tc>
        <w:tc>
          <w:tcPr>
            <w:tcW w:w="957" w:type="dxa"/>
          </w:tcPr>
          <w:p w14:paraId="087C1FBE">
            <w:r>
              <w:rPr>
                <w:rFonts w:ascii="Times New Roman" w:hAnsi="Times New Roman" w:eastAsia="宋体"/>
                <w:sz w:val="20"/>
              </w:rPr>
              <w:t>0.082</w:t>
            </w:r>
          </w:p>
        </w:tc>
        <w:tc>
          <w:tcPr>
            <w:tcW w:w="957" w:type="dxa"/>
          </w:tcPr>
          <w:p w14:paraId="6460AE80">
            <w:r>
              <w:rPr>
                <w:rFonts w:ascii="Times New Roman" w:hAnsi="Times New Roman" w:eastAsia="宋体"/>
                <w:sz w:val="20"/>
              </w:rPr>
              <w:t>0.098</w:t>
            </w:r>
          </w:p>
        </w:tc>
        <w:tc>
          <w:tcPr>
            <w:tcW w:w="957" w:type="dxa"/>
          </w:tcPr>
          <w:p w14:paraId="04594806">
            <w:r>
              <w:rPr>
                <w:rFonts w:ascii="Times New Roman" w:hAnsi="Times New Roman" w:eastAsia="宋体"/>
                <w:sz w:val="20"/>
              </w:rPr>
              <w:t>0.281</w:t>
            </w:r>
          </w:p>
        </w:tc>
        <w:tc>
          <w:tcPr>
            <w:tcW w:w="957" w:type="dxa"/>
          </w:tcPr>
          <w:p w14:paraId="744FFCD6">
            <w:r>
              <w:rPr>
                <w:rFonts w:ascii="Times New Roman" w:hAnsi="Times New Roman" w:eastAsia="宋体"/>
                <w:sz w:val="20"/>
              </w:rPr>
              <w:t>0.164</w:t>
            </w:r>
          </w:p>
        </w:tc>
        <w:tc>
          <w:tcPr>
            <w:tcW w:w="957" w:type="dxa"/>
          </w:tcPr>
          <w:p w14:paraId="350F2EED">
            <w:r>
              <w:rPr>
                <w:rFonts w:ascii="Times New Roman" w:hAnsi="Times New Roman" w:eastAsia="宋体"/>
                <w:sz w:val="20"/>
              </w:rPr>
              <w:t>0.215</w:t>
            </w:r>
          </w:p>
        </w:tc>
        <w:tc>
          <w:tcPr>
            <w:tcW w:w="957" w:type="dxa"/>
          </w:tcPr>
          <w:p w14:paraId="35B8A0CD">
            <w:r>
              <w:rPr>
                <w:rFonts w:ascii="Times New Roman" w:hAnsi="Times New Roman" w:eastAsia="宋体"/>
                <w:sz w:val="20"/>
              </w:rPr>
              <w:t>影响程度(高)+预期效果(高)</w:t>
            </w:r>
          </w:p>
        </w:tc>
      </w:tr>
      <w:tr w14:paraId="54590DA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6190716A">
            <w:r>
              <w:rPr>
                <w:rFonts w:ascii="Times New Roman" w:hAnsi="Times New Roman" w:eastAsia="宋体"/>
                <w:sz w:val="20"/>
              </w:rPr>
              <w:t>2</w:t>
            </w:r>
          </w:p>
        </w:tc>
        <w:tc>
          <w:tcPr>
            <w:tcW w:w="957" w:type="dxa"/>
          </w:tcPr>
          <w:p w14:paraId="53B68C94">
            <w:r>
              <w:rPr>
                <w:rFonts w:ascii="Times New Roman" w:hAnsi="Times New Roman" w:eastAsia="宋体"/>
                <w:sz w:val="20"/>
              </w:rPr>
              <w:t>B4 多院区信息孤岛</w:t>
            </w:r>
          </w:p>
        </w:tc>
        <w:tc>
          <w:tcPr>
            <w:tcW w:w="957" w:type="dxa"/>
          </w:tcPr>
          <w:p w14:paraId="7499F992">
            <w:r>
              <w:rPr>
                <w:rFonts w:ascii="Times New Roman" w:hAnsi="Times New Roman" w:eastAsia="宋体"/>
                <w:sz w:val="20"/>
              </w:rPr>
              <w:t>0.256</w:t>
            </w:r>
          </w:p>
        </w:tc>
        <w:tc>
          <w:tcPr>
            <w:tcW w:w="957" w:type="dxa"/>
          </w:tcPr>
          <w:p w14:paraId="3B2FF7A6">
            <w:r>
              <w:rPr>
                <w:rFonts w:ascii="Times New Roman" w:hAnsi="Times New Roman" w:eastAsia="宋体"/>
                <w:sz w:val="20"/>
              </w:rPr>
              <w:t>0.105</w:t>
            </w:r>
          </w:p>
        </w:tc>
        <w:tc>
          <w:tcPr>
            <w:tcW w:w="957" w:type="dxa"/>
          </w:tcPr>
          <w:p w14:paraId="0B872E0B">
            <w:r>
              <w:rPr>
                <w:rFonts w:ascii="Times New Roman" w:hAnsi="Times New Roman" w:eastAsia="宋体"/>
                <w:sz w:val="20"/>
              </w:rPr>
              <w:t>0.087</w:t>
            </w:r>
          </w:p>
        </w:tc>
        <w:tc>
          <w:tcPr>
            <w:tcW w:w="957" w:type="dxa"/>
          </w:tcPr>
          <w:p w14:paraId="183A4483">
            <w:r>
              <w:rPr>
                <w:rFonts w:ascii="Times New Roman" w:hAnsi="Times New Roman" w:eastAsia="宋体"/>
                <w:sz w:val="20"/>
              </w:rPr>
              <w:t>0.159</w:t>
            </w:r>
          </w:p>
        </w:tc>
        <w:tc>
          <w:tcPr>
            <w:tcW w:w="957" w:type="dxa"/>
          </w:tcPr>
          <w:p w14:paraId="18C98512">
            <w:r>
              <w:rPr>
                <w:rFonts w:ascii="Times New Roman" w:hAnsi="Times New Roman" w:eastAsia="宋体"/>
                <w:sz w:val="20"/>
              </w:rPr>
              <w:t>0.221</w:t>
            </w:r>
          </w:p>
        </w:tc>
        <w:tc>
          <w:tcPr>
            <w:tcW w:w="957" w:type="dxa"/>
          </w:tcPr>
          <w:p w14:paraId="03A9F8C2">
            <w:r>
              <w:rPr>
                <w:rFonts w:ascii="Times New Roman" w:hAnsi="Times New Roman" w:eastAsia="宋体"/>
                <w:sz w:val="20"/>
              </w:rPr>
              <w:t>0.198</w:t>
            </w:r>
          </w:p>
        </w:tc>
        <w:tc>
          <w:tcPr>
            <w:tcW w:w="957" w:type="dxa"/>
          </w:tcPr>
          <w:p w14:paraId="4AD0F773">
            <w:r>
              <w:rPr>
                <w:rFonts w:ascii="Times New Roman" w:hAnsi="Times New Roman" w:eastAsia="宋体"/>
                <w:sz w:val="20"/>
              </w:rPr>
              <w:t>影响程度(高)+患者影响(高)</w:t>
            </w:r>
          </w:p>
        </w:tc>
      </w:tr>
      <w:tr w14:paraId="7C3167D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28E85F52">
            <w:r>
              <w:rPr>
                <w:rFonts w:ascii="Times New Roman" w:hAnsi="Times New Roman" w:eastAsia="宋体"/>
                <w:sz w:val="20"/>
              </w:rPr>
              <w:t>3</w:t>
            </w:r>
          </w:p>
        </w:tc>
        <w:tc>
          <w:tcPr>
            <w:tcW w:w="957" w:type="dxa"/>
          </w:tcPr>
          <w:p w14:paraId="6FAE2AB8">
            <w:r>
              <w:rPr>
                <w:rFonts w:ascii="Times New Roman" w:hAnsi="Times New Roman" w:eastAsia="宋体"/>
                <w:sz w:val="20"/>
              </w:rPr>
              <w:t>B2 检查→复诊回路断点</w:t>
            </w:r>
          </w:p>
        </w:tc>
        <w:tc>
          <w:tcPr>
            <w:tcW w:w="957" w:type="dxa"/>
          </w:tcPr>
          <w:p w14:paraId="603A5DC0">
            <w:r>
              <w:rPr>
                <w:rFonts w:ascii="Times New Roman" w:hAnsi="Times New Roman" w:eastAsia="宋体"/>
                <w:sz w:val="20"/>
              </w:rPr>
              <w:t>0.178</w:t>
            </w:r>
          </w:p>
        </w:tc>
        <w:tc>
          <w:tcPr>
            <w:tcW w:w="957" w:type="dxa"/>
          </w:tcPr>
          <w:p w14:paraId="47D05E6E">
            <w:r>
              <w:rPr>
                <w:rFonts w:ascii="Times New Roman" w:hAnsi="Times New Roman" w:eastAsia="宋体"/>
                <w:sz w:val="20"/>
              </w:rPr>
              <w:t>0.183</w:t>
            </w:r>
          </w:p>
        </w:tc>
        <w:tc>
          <w:tcPr>
            <w:tcW w:w="957" w:type="dxa"/>
          </w:tcPr>
          <w:p w14:paraId="201BF10E">
            <w:r>
              <w:rPr>
                <w:rFonts w:ascii="Times New Roman" w:hAnsi="Times New Roman" w:eastAsia="宋体"/>
                <w:sz w:val="20"/>
              </w:rPr>
              <w:t>0.173</w:t>
            </w:r>
          </w:p>
        </w:tc>
        <w:tc>
          <w:tcPr>
            <w:tcW w:w="957" w:type="dxa"/>
          </w:tcPr>
          <w:p w14:paraId="44A73EBD">
            <w:r>
              <w:rPr>
                <w:rFonts w:ascii="Times New Roman" w:hAnsi="Times New Roman" w:eastAsia="宋体"/>
                <w:sz w:val="20"/>
              </w:rPr>
              <w:t>0.196</w:t>
            </w:r>
          </w:p>
        </w:tc>
        <w:tc>
          <w:tcPr>
            <w:tcW w:w="957" w:type="dxa"/>
          </w:tcPr>
          <w:p w14:paraId="29074180">
            <w:r>
              <w:rPr>
                <w:rFonts w:ascii="Times New Roman" w:hAnsi="Times New Roman" w:eastAsia="宋体"/>
                <w:sz w:val="20"/>
              </w:rPr>
              <w:t>0.132</w:t>
            </w:r>
          </w:p>
        </w:tc>
        <w:tc>
          <w:tcPr>
            <w:tcW w:w="957" w:type="dxa"/>
          </w:tcPr>
          <w:p w14:paraId="2E600F94">
            <w:r>
              <w:rPr>
                <w:rFonts w:ascii="Times New Roman" w:hAnsi="Times New Roman" w:eastAsia="宋体"/>
                <w:sz w:val="20"/>
              </w:rPr>
              <w:t>0.172</w:t>
            </w:r>
          </w:p>
        </w:tc>
        <w:tc>
          <w:tcPr>
            <w:tcW w:w="957" w:type="dxa"/>
          </w:tcPr>
          <w:p w14:paraId="5EF58E8A">
            <w:r>
              <w:rPr>
                <w:rFonts w:ascii="Times New Roman" w:hAnsi="Times New Roman" w:eastAsia="宋体"/>
                <w:sz w:val="20"/>
              </w:rPr>
              <w:t>影响程度(中高)+预期效果(中高)</w:t>
            </w:r>
          </w:p>
        </w:tc>
      </w:tr>
      <w:tr w14:paraId="1558358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594472F8">
            <w:r>
              <w:rPr>
                <w:rFonts w:ascii="Times New Roman" w:hAnsi="Times New Roman" w:eastAsia="宋体"/>
                <w:sz w:val="20"/>
              </w:rPr>
              <w:t>4</w:t>
            </w:r>
          </w:p>
        </w:tc>
        <w:tc>
          <w:tcPr>
            <w:tcW w:w="957" w:type="dxa"/>
          </w:tcPr>
          <w:p w14:paraId="6A1AF773">
            <w:r>
              <w:rPr>
                <w:rFonts w:ascii="Times New Roman" w:hAnsi="Times New Roman" w:eastAsia="宋体"/>
                <w:sz w:val="20"/>
              </w:rPr>
              <w:t>B5 服务标准不统一</w:t>
            </w:r>
          </w:p>
        </w:tc>
        <w:tc>
          <w:tcPr>
            <w:tcW w:w="957" w:type="dxa"/>
          </w:tcPr>
          <w:p w14:paraId="5987187E">
            <w:r>
              <w:rPr>
                <w:rFonts w:ascii="Times New Roman" w:hAnsi="Times New Roman" w:eastAsia="宋体"/>
                <w:sz w:val="20"/>
              </w:rPr>
              <w:t>0.114</w:t>
            </w:r>
          </w:p>
        </w:tc>
        <w:tc>
          <w:tcPr>
            <w:tcW w:w="957" w:type="dxa"/>
          </w:tcPr>
          <w:p w14:paraId="27A6C0DC">
            <w:r>
              <w:rPr>
                <w:rFonts w:ascii="Times New Roman" w:hAnsi="Times New Roman" w:eastAsia="宋体"/>
                <w:sz w:val="20"/>
              </w:rPr>
              <w:t>0.246</w:t>
            </w:r>
          </w:p>
        </w:tc>
        <w:tc>
          <w:tcPr>
            <w:tcW w:w="957" w:type="dxa"/>
          </w:tcPr>
          <w:p w14:paraId="2B7B87CA">
            <w:r>
              <w:rPr>
                <w:rFonts w:ascii="Times New Roman" w:hAnsi="Times New Roman" w:eastAsia="宋体"/>
                <w:sz w:val="20"/>
              </w:rPr>
              <w:t>0.291</w:t>
            </w:r>
          </w:p>
        </w:tc>
        <w:tc>
          <w:tcPr>
            <w:tcW w:w="957" w:type="dxa"/>
          </w:tcPr>
          <w:p w14:paraId="01C732FE">
            <w:r>
              <w:rPr>
                <w:rFonts w:ascii="Times New Roman" w:hAnsi="Times New Roman" w:eastAsia="宋体"/>
                <w:sz w:val="20"/>
              </w:rPr>
              <w:t>0.125</w:t>
            </w:r>
          </w:p>
        </w:tc>
        <w:tc>
          <w:tcPr>
            <w:tcW w:w="957" w:type="dxa"/>
          </w:tcPr>
          <w:p w14:paraId="30EBEA40">
            <w:r>
              <w:rPr>
                <w:rFonts w:ascii="Times New Roman" w:hAnsi="Times New Roman" w:eastAsia="宋体"/>
                <w:sz w:val="20"/>
              </w:rPr>
              <w:t>0.137</w:t>
            </w:r>
          </w:p>
        </w:tc>
        <w:tc>
          <w:tcPr>
            <w:tcW w:w="957" w:type="dxa"/>
          </w:tcPr>
          <w:p w14:paraId="4CE2EF5A">
            <w:r>
              <w:rPr>
                <w:rFonts w:ascii="Times New Roman" w:hAnsi="Times New Roman" w:eastAsia="宋体"/>
                <w:sz w:val="20"/>
              </w:rPr>
              <w:t>0.148</w:t>
            </w:r>
          </w:p>
        </w:tc>
        <w:tc>
          <w:tcPr>
            <w:tcW w:w="957" w:type="dxa"/>
          </w:tcPr>
          <w:p w14:paraId="203763C0">
            <w:r>
              <w:rPr>
                <w:rFonts w:ascii="Times New Roman" w:hAnsi="Times New Roman" w:eastAsia="宋体"/>
                <w:sz w:val="20"/>
              </w:rPr>
              <w:t>实施难度(低)+预期效果(中)</w:t>
            </w:r>
          </w:p>
        </w:tc>
      </w:tr>
      <w:tr w14:paraId="4CDE6B2D">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4021814B">
            <w:r>
              <w:rPr>
                <w:rFonts w:ascii="Times New Roman" w:hAnsi="Times New Roman" w:eastAsia="宋体"/>
                <w:sz w:val="20"/>
              </w:rPr>
              <w:t>5</w:t>
            </w:r>
          </w:p>
        </w:tc>
        <w:tc>
          <w:tcPr>
            <w:tcW w:w="957" w:type="dxa"/>
          </w:tcPr>
          <w:p w14:paraId="5F92A890">
            <w:r>
              <w:rPr>
                <w:rFonts w:ascii="Times New Roman" w:hAnsi="Times New Roman" w:eastAsia="宋体"/>
                <w:sz w:val="20"/>
              </w:rPr>
              <w:t>B3 药品配送最后一公里</w:t>
            </w:r>
          </w:p>
        </w:tc>
        <w:tc>
          <w:tcPr>
            <w:tcW w:w="957" w:type="dxa"/>
          </w:tcPr>
          <w:p w14:paraId="2132A0F9">
            <w:r>
              <w:rPr>
                <w:rFonts w:ascii="Times New Roman" w:hAnsi="Times New Roman" w:eastAsia="宋体"/>
                <w:sz w:val="20"/>
              </w:rPr>
              <w:t>0.107</w:t>
            </w:r>
          </w:p>
        </w:tc>
        <w:tc>
          <w:tcPr>
            <w:tcW w:w="957" w:type="dxa"/>
          </w:tcPr>
          <w:p w14:paraId="77AC6F68">
            <w:r>
              <w:rPr>
                <w:rFonts w:ascii="Times New Roman" w:hAnsi="Times New Roman" w:eastAsia="宋体"/>
                <w:sz w:val="20"/>
              </w:rPr>
              <w:t>0.158</w:t>
            </w:r>
          </w:p>
        </w:tc>
        <w:tc>
          <w:tcPr>
            <w:tcW w:w="957" w:type="dxa"/>
          </w:tcPr>
          <w:p w14:paraId="4FD531E7">
            <w:r>
              <w:rPr>
                <w:rFonts w:ascii="Times New Roman" w:hAnsi="Times New Roman" w:eastAsia="宋体"/>
                <w:sz w:val="20"/>
              </w:rPr>
              <w:t>0.137</w:t>
            </w:r>
          </w:p>
        </w:tc>
        <w:tc>
          <w:tcPr>
            <w:tcW w:w="957" w:type="dxa"/>
          </w:tcPr>
          <w:p w14:paraId="390D41F3">
            <w:r>
              <w:rPr>
                <w:rFonts w:ascii="Times New Roman" w:hAnsi="Times New Roman" w:eastAsia="宋体"/>
                <w:sz w:val="20"/>
              </w:rPr>
              <w:t>0.074</w:t>
            </w:r>
          </w:p>
        </w:tc>
        <w:tc>
          <w:tcPr>
            <w:tcW w:w="957" w:type="dxa"/>
          </w:tcPr>
          <w:p w14:paraId="34954D06">
            <w:r>
              <w:rPr>
                <w:rFonts w:ascii="Times New Roman" w:hAnsi="Times New Roman" w:eastAsia="宋体"/>
                <w:sz w:val="20"/>
              </w:rPr>
              <w:t>0.260</w:t>
            </w:r>
          </w:p>
        </w:tc>
        <w:tc>
          <w:tcPr>
            <w:tcW w:w="957" w:type="dxa"/>
          </w:tcPr>
          <w:p w14:paraId="25C3F97F">
            <w:r>
              <w:rPr>
                <w:rFonts w:ascii="Times New Roman" w:hAnsi="Times New Roman" w:eastAsia="宋体"/>
                <w:sz w:val="20"/>
              </w:rPr>
              <w:t>0.142</w:t>
            </w:r>
          </w:p>
        </w:tc>
        <w:tc>
          <w:tcPr>
            <w:tcW w:w="957" w:type="dxa"/>
          </w:tcPr>
          <w:p w14:paraId="67C533F0">
            <w:r>
              <w:rPr>
                <w:rFonts w:ascii="Times New Roman" w:hAnsi="Times New Roman" w:eastAsia="宋体"/>
                <w:sz w:val="20"/>
              </w:rPr>
              <w:t>患者影响(高)+改造成本(中)</w:t>
            </w:r>
          </w:p>
        </w:tc>
      </w:tr>
      <w:tr w14:paraId="55899D0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957" w:type="dxa"/>
          </w:tcPr>
          <w:p w14:paraId="1FEC574D">
            <w:r>
              <w:rPr>
                <w:rFonts w:ascii="Times New Roman" w:hAnsi="Times New Roman" w:eastAsia="宋体"/>
                <w:sz w:val="20"/>
              </w:rPr>
              <w:t>6</w:t>
            </w:r>
          </w:p>
        </w:tc>
        <w:tc>
          <w:tcPr>
            <w:tcW w:w="957" w:type="dxa"/>
          </w:tcPr>
          <w:p w14:paraId="77D83E4B">
            <w:r>
              <w:rPr>
                <w:rFonts w:ascii="Times New Roman" w:hAnsi="Times New Roman" w:eastAsia="宋体"/>
                <w:sz w:val="20"/>
              </w:rPr>
              <w:t>B6 数据利用不足</w:t>
            </w:r>
          </w:p>
        </w:tc>
        <w:tc>
          <w:tcPr>
            <w:tcW w:w="957" w:type="dxa"/>
          </w:tcPr>
          <w:p w14:paraId="02EBE926">
            <w:r>
              <w:rPr>
                <w:rFonts w:ascii="Times New Roman" w:hAnsi="Times New Roman" w:eastAsia="宋体"/>
                <w:sz w:val="20"/>
              </w:rPr>
              <w:t>0.078</w:t>
            </w:r>
          </w:p>
        </w:tc>
        <w:tc>
          <w:tcPr>
            <w:tcW w:w="957" w:type="dxa"/>
          </w:tcPr>
          <w:p w14:paraId="61DF459D">
            <w:r>
              <w:rPr>
                <w:rFonts w:ascii="Times New Roman" w:hAnsi="Times New Roman" w:eastAsia="宋体"/>
                <w:sz w:val="20"/>
              </w:rPr>
              <w:t>0.226</w:t>
            </w:r>
          </w:p>
        </w:tc>
        <w:tc>
          <w:tcPr>
            <w:tcW w:w="957" w:type="dxa"/>
          </w:tcPr>
          <w:p w14:paraId="5666EE8E">
            <w:r>
              <w:rPr>
                <w:rFonts w:ascii="Times New Roman" w:hAnsi="Times New Roman" w:eastAsia="宋体"/>
                <w:sz w:val="20"/>
              </w:rPr>
              <w:t>0.214</w:t>
            </w:r>
          </w:p>
        </w:tc>
        <w:tc>
          <w:tcPr>
            <w:tcW w:w="957" w:type="dxa"/>
          </w:tcPr>
          <w:p w14:paraId="06CF53B1">
            <w:r>
              <w:rPr>
                <w:rFonts w:ascii="Times New Roman" w:hAnsi="Times New Roman" w:eastAsia="宋体"/>
                <w:sz w:val="20"/>
              </w:rPr>
              <w:t>0.165</w:t>
            </w:r>
          </w:p>
        </w:tc>
        <w:tc>
          <w:tcPr>
            <w:tcW w:w="957" w:type="dxa"/>
          </w:tcPr>
          <w:p w14:paraId="0BD2932C">
            <w:r>
              <w:rPr>
                <w:rFonts w:ascii="Times New Roman" w:hAnsi="Times New Roman" w:eastAsia="宋体"/>
                <w:sz w:val="20"/>
              </w:rPr>
              <w:t>0.086</w:t>
            </w:r>
          </w:p>
        </w:tc>
        <w:tc>
          <w:tcPr>
            <w:tcW w:w="957" w:type="dxa"/>
          </w:tcPr>
          <w:p w14:paraId="39E8A61D">
            <w:r>
              <w:rPr>
                <w:rFonts w:ascii="Times New Roman" w:hAnsi="Times New Roman" w:eastAsia="宋体"/>
                <w:sz w:val="20"/>
              </w:rPr>
              <w:t>0.125</w:t>
            </w:r>
          </w:p>
        </w:tc>
        <w:tc>
          <w:tcPr>
            <w:tcW w:w="957" w:type="dxa"/>
          </w:tcPr>
          <w:p w14:paraId="2CA1F722">
            <w:r>
              <w:rPr>
                <w:rFonts w:ascii="Times New Roman" w:hAnsi="Times New Roman" w:eastAsia="宋体"/>
                <w:sz w:val="20"/>
              </w:rPr>
              <w:t>实施难度(中)+预期效果(中高)</w:t>
            </w:r>
          </w:p>
        </w:tc>
      </w:tr>
    </w:tbl>
    <w:p w14:paraId="7B7DEC92"/>
    <w:p w14:paraId="55F8A4EE">
      <w:pPr>
        <w:spacing w:before="0" w:after="0" w:line="400" w:lineRule="exact"/>
        <w:ind w:firstLine="480"/>
        <w:jc w:val="both"/>
      </w:pPr>
      <w:r>
        <w:rPr>
          <w:rFonts w:ascii="Times New Roman" w:hAnsi="Times New Roman" w:eastAsia="宋体"/>
          <w:b w:val="0"/>
          <w:sz w:val="24"/>
        </w:rPr>
        <w:t>以B1为例，其综合得分=0.267×0.367+0.082×0.109+0.098×0.068+0.281×0.228+0.164×0.228≈0.215，其余瓶颈的综合得分同理加权计算，六个综合得分之和为1。</w:t>
      </w:r>
    </w:p>
    <w:p w14:paraId="0782EA89">
      <w:pPr>
        <w:spacing w:before="0" w:after="0" w:line="400" w:lineRule="exact"/>
        <w:ind w:firstLine="480"/>
        <w:jc w:val="both"/>
      </w:pPr>
      <w:r>
        <w:rPr>
          <w:rFonts w:ascii="Times New Roman" w:hAnsi="Times New Roman" w:eastAsia="宋体"/>
          <w:b w:val="0"/>
          <w:sz w:val="24"/>
        </w:rPr>
        <w:t>AHP评价结果显示，处方到线下检查的衔接断点（B1）和多院区信息孤岛（B4）是两个得分最高的优先改进领域，综合得分分别为0.215和0.198。B1的高得分主要源于其对流程效率的严重影响和改造后的高预期效果——打通线上处方与线下检查的信息通道，将直接消除当前流程中最大的断点。B4的高得分则源于其广泛的影响范围——信息孤岛问题涉及所有院区和几乎所有业务类型，其解决将带来系统性的效率提升。</w:t>
      </w:r>
    </w:p>
    <w:p w14:paraId="5F231BA9">
      <w:pPr>
        <w:spacing w:before="0" w:after="0" w:line="400" w:lineRule="exact"/>
        <w:ind w:firstLine="480"/>
        <w:jc w:val="both"/>
      </w:pPr>
      <w:r>
        <w:rPr>
          <w:rFonts w:ascii="Times New Roman" w:hAnsi="Times New Roman" w:eastAsia="宋体"/>
          <w:b w:val="0"/>
          <w:sz w:val="24"/>
        </w:rPr>
        <w:t>改进优先级排序结果给第四章第四节的优化方案设计提供了清晰的资源分配指引：优先资源应集中投入B1和B4，其次是B2和B5，B3和B6可在前四项改进取得阶段性成果后再逐步推进。</w:t>
      </w:r>
    </w:p>
    <w:p w14:paraId="2B26799D">
      <w:pPr>
        <w:spacing w:before="0" w:after="0" w:line="400" w:lineRule="exact"/>
        <w:ind w:firstLine="480"/>
        <w:jc w:val="both"/>
      </w:pPr>
      <w:r>
        <w:rPr>
          <w:rFonts w:ascii="Times New Roman" w:hAnsi="Times New Roman" w:eastAsia="宋体"/>
          <w:b w:val="0"/>
          <w:sz w:val="24"/>
        </w:rPr>
        <w:t>本节的AHP评价基于第四章第一节中设计的判断矩阵构造逻辑，在实际应用中可由集团运营管理团队根据具体情况调整判断矩阵中的标度值。本研究的重点是展示AHP方法如何将定性判断转化为可比较、可排序的定量优先级，为管理决策提供工具支撑。</w:t>
      </w:r>
    </w:p>
    <w:p w14:paraId="576B1E34">
      <w:pPr>
        <w:spacing w:before="480" w:after="120" w:line="240" w:lineRule="auto"/>
        <w:jc w:val="center"/>
        <w:outlineLvl w:val="1"/>
      </w:pPr>
      <w:bookmarkStart w:id="63" w:name="_Toc6920"/>
      <w:r>
        <w:rPr>
          <w:rFonts w:ascii="Times New Roman" w:hAnsi="Times New Roman" w:eastAsia="黑体"/>
          <w:b/>
          <w:sz w:val="28"/>
        </w:rPr>
        <w:t>第四节　服务蓝图与优化方案</w:t>
      </w:r>
      <w:bookmarkEnd w:id="63"/>
    </w:p>
    <w:p w14:paraId="586DADB4">
      <w:pPr>
        <w:spacing w:before="0" w:after="0" w:line="400" w:lineRule="exact"/>
        <w:ind w:firstLine="480"/>
        <w:jc w:val="both"/>
      </w:pPr>
      <w:r>
        <w:rPr>
          <w:rFonts w:ascii="Times New Roman" w:hAnsi="Times New Roman" w:eastAsia="宋体"/>
          <w:b w:val="0"/>
          <w:sz w:val="24"/>
        </w:rPr>
        <w:t>本节的推进顺序是：先绘制现状服务蓝图并标注断点，再从三个维度提出系统性的流程优化方案——线上线下一体化流程再造、多院区协同机制设计、数据驱动的智能质控体系，最后画出优化后的服务蓝图。三个优化维度与AHP评价确定的优先改进瓶颈一一对应：线上线下一体化流程再造回应B1（处方→线下检查衔接断点）、B2（检查→复诊回路断点）和B3（药品配送最后一公里）三类流程断点瓶颈；多院区协同机制设计回应B4（多院区信息孤岛）和B5（服务标准不统一）两类协同障碍瓶颈；数据驱动的智能质控体系回应B6（数据利用不足）。AHP综合得分排名前两位的B1（0.215）和B4（0.198），自然是本次方案设计与资源投入的核心。</w:t>
      </w:r>
    </w:p>
    <w:p w14:paraId="35302F1A">
      <w:pPr>
        <w:spacing w:before="240" w:after="120" w:line="240" w:lineRule="auto"/>
        <w:ind w:firstLine="520"/>
        <w:outlineLvl w:val="2"/>
      </w:pPr>
      <w:bookmarkStart w:id="64" w:name="_Toc32492"/>
      <w:r>
        <w:rPr>
          <w:rFonts w:ascii="Times New Roman" w:hAnsi="Times New Roman" w:eastAsia="黑体"/>
          <w:b/>
          <w:sz w:val="26"/>
        </w:rPr>
        <w:t>一、现状服务蓝图（含断点标注）</w:t>
      </w:r>
      <w:bookmarkEnd w:id="64"/>
    </w:p>
    <w:p w14:paraId="2365E45F">
      <w:pPr>
        <w:jc w:val="center"/>
      </w:pPr>
      <w:r>
        <w:drawing>
          <wp:inline distT="0" distB="0" distL="114300" distR="114300">
            <wp:extent cx="5039995" cy="3977005"/>
            <wp:effectExtent l="0" t="0" r="13335" b="1016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26"/>
                    <a:stretch>
                      <a:fillRect/>
                    </a:stretch>
                  </pic:blipFill>
                  <pic:spPr>
                    <a:xfrm>
                      <a:off x="0" y="0"/>
                      <a:ext cx="5040000" cy="3977400"/>
                    </a:xfrm>
                    <a:prstGeom prst="rect">
                      <a:avLst/>
                    </a:prstGeom>
                  </pic:spPr>
                </pic:pic>
              </a:graphicData>
            </a:graphic>
          </wp:inline>
        </w:drawing>
      </w:r>
    </w:p>
    <w:p w14:paraId="4D51EF4D">
      <w:pPr>
        <w:spacing w:before="0" w:after="0" w:line="400" w:lineRule="exact"/>
        <w:ind w:firstLine="480"/>
        <w:jc w:val="both"/>
      </w:pPr>
      <w:r>
        <w:rPr>
          <w:rFonts w:ascii="Times New Roman" w:hAnsi="Times New Roman" w:eastAsia="宋体"/>
          <w:b w:val="0"/>
          <w:sz w:val="24"/>
        </w:rPr>
        <w:t>图4.7 现状服务蓝图</w:t>
      </w:r>
    </w:p>
    <w:p w14:paraId="1836D7CE">
      <w:pPr>
        <w:spacing w:before="0" w:after="0" w:line="400" w:lineRule="exact"/>
        <w:ind w:firstLine="480"/>
        <w:jc w:val="both"/>
      </w:pPr>
      <w:r>
        <w:rPr>
          <w:rFonts w:ascii="Times New Roman" w:hAnsi="Times New Roman" w:eastAsia="宋体"/>
          <w:b w:val="0"/>
          <w:sz w:val="24"/>
        </w:rPr>
        <w:t>服务蓝图将A医药集团互联网医院的核心服务流程按垂直维度分解为三个层次：患者行为层（前台）、后台操作层和系统支持层。蓝图以时间为横轴，从左至右依次展示患者从进入平台到服务结束的完整旅程。基于第三章和第四章第二节的分析结果，在蓝图上标注流程断点和痛点的位置。</w:t>
      </w:r>
    </w:p>
    <w:p w14:paraId="694AC8B5">
      <w:pPr>
        <w:spacing w:before="240" w:after="120" w:line="240" w:lineRule="auto"/>
        <w:ind w:firstLine="480"/>
        <w:outlineLvl w:val="3"/>
      </w:pPr>
      <w:r>
        <w:rPr>
          <w:rFonts w:ascii="Times New Roman" w:hAnsi="Times New Roman" w:eastAsia="黑体"/>
          <w:b/>
          <w:sz w:val="24"/>
        </w:rPr>
        <w:t>（一）患者行为层</w:t>
      </w:r>
    </w:p>
    <w:p w14:paraId="7F1409B0">
      <w:pPr>
        <w:spacing w:before="0" w:after="0" w:line="400" w:lineRule="exact"/>
        <w:ind w:firstLine="480"/>
        <w:jc w:val="both"/>
      </w:pPr>
      <w:r>
        <w:rPr>
          <w:rFonts w:ascii="Times New Roman" w:hAnsi="Times New Roman" w:eastAsia="宋体"/>
          <w:b w:val="0"/>
          <w:sz w:val="24"/>
        </w:rPr>
        <w:t>患者进入互联网医院平台后的行为序列如下。第一步，打开微信小程序或手机应用，浏览院区和科室信息，选择目标医院和科室。第二步，查看可接诊医生列表及排班信息，选择医生或接受系统自动分配。第三步，填写主诉症状，上传相关图片资料（如有），选择问诊方式（图文/语音/视频），完成支付并提交申请。第四步，等待医生接诊——此环节即4.2节中识别的第一个等待瓶颈，平均等待时间为6.5分钟。第五步，医生接诊后进行在线交流，获得初步诊断意见。第六步，根据医生建议，进行以下分支操作：若需用药，则等待处方开具和审核，选择取药方式；若需检查，则在线预约检查时段，按预约时间前往线下检查科室。第七步，查看检查报告或确认取药信息，服务流程结束。</w:t>
      </w:r>
    </w:p>
    <w:p w14:paraId="336D4862">
      <w:pPr>
        <w:spacing w:before="0" w:after="0" w:line="400" w:lineRule="exact"/>
        <w:ind w:firstLine="480"/>
        <w:jc w:val="both"/>
      </w:pPr>
      <w:r>
        <w:rPr>
          <w:rFonts w:ascii="Times New Roman" w:hAnsi="Times New Roman" w:eastAsia="宋体"/>
          <w:b w:val="0"/>
          <w:sz w:val="24"/>
        </w:rPr>
        <w:t>在患者行为层中，已识别的主要痛点包括：院区和科室选择环节信息量较大，新用户操作路径较长；等待医生接诊期间缺乏有效的进度反馈和等待时间预估；线上问诊结束后转向线下检查的切换体验不流畅，需要在两个不同的系统和服务场景之间"跳转"；药品配送的物流信息更新不够及时。</w:t>
      </w:r>
    </w:p>
    <w:p w14:paraId="202A580D">
      <w:pPr>
        <w:spacing w:before="240" w:after="120" w:line="240" w:lineRule="auto"/>
        <w:ind w:firstLine="480"/>
        <w:outlineLvl w:val="3"/>
      </w:pPr>
      <w:r>
        <w:rPr>
          <w:rFonts w:ascii="Times New Roman" w:hAnsi="Times New Roman" w:eastAsia="黑体"/>
          <w:b/>
          <w:sz w:val="24"/>
        </w:rPr>
        <w:t>（二）后台操作层</w:t>
      </w:r>
    </w:p>
    <w:p w14:paraId="08E710BE">
      <w:pPr>
        <w:spacing w:before="0" w:after="0" w:line="400" w:lineRule="exact"/>
        <w:ind w:firstLine="480"/>
        <w:jc w:val="both"/>
      </w:pPr>
      <w:r>
        <w:rPr>
          <w:rFonts w:ascii="Times New Roman" w:hAnsi="Times New Roman" w:eastAsia="宋体"/>
          <w:b w:val="0"/>
          <w:sz w:val="24"/>
        </w:rPr>
        <w:t>后台操作层展示了支持患者前台体验的医生、药师和护士等后台人员的操作。医生端的操作包括：登录接诊工作台，查看待接诊队列和患者历史就诊记录；接诊后与患者进行在线交流，根据病情决定是否开具处方或检查申请；在处方系统中创建处方，接受AI智能审方引擎的实时审核提示；处方被审核通过后，通知患者取药方式选项。药师端的操作包括：在审核平台中查看待审核处方列表，结合患者病历和用药历史进行人工审核，审核通过后电子签名确认。检查科室人员的操作包括：查看检查预约列表，准备检查设备和耗材，为患者进行检查，出具和上传检查报告。</w:t>
      </w:r>
    </w:p>
    <w:p w14:paraId="4A6CE2B8">
      <w:pPr>
        <w:spacing w:before="0" w:after="0" w:line="400" w:lineRule="exact"/>
        <w:ind w:firstLine="480"/>
        <w:jc w:val="both"/>
      </w:pPr>
      <w:r>
        <w:rPr>
          <w:rFonts w:ascii="Times New Roman" w:hAnsi="Times New Roman" w:eastAsia="宋体"/>
          <w:b w:val="0"/>
          <w:sz w:val="24"/>
        </w:rPr>
        <w:t>在后台操作层中，已识别的主要痛点包括：医生在不同院区HIS系统和互联网医院平台之间切换操作，增加了工作负担；药师审核处方时无法查看患者在其他院区的历史用药记录（信息孤岛的直接影响）；检查科室的预约系统与平台之间的实时同步存在延迟。</w:t>
      </w:r>
    </w:p>
    <w:p w14:paraId="60D11B44">
      <w:pPr>
        <w:spacing w:before="240" w:after="120" w:line="240" w:lineRule="auto"/>
        <w:ind w:firstLine="480"/>
        <w:outlineLvl w:val="3"/>
      </w:pPr>
      <w:r>
        <w:rPr>
          <w:rFonts w:ascii="Times New Roman" w:hAnsi="Times New Roman" w:eastAsia="黑体"/>
          <w:b/>
          <w:sz w:val="24"/>
        </w:rPr>
        <w:t>（三）系统支持层</w:t>
      </w:r>
    </w:p>
    <w:p w14:paraId="3F640046">
      <w:pPr>
        <w:spacing w:before="0" w:after="0" w:line="400" w:lineRule="exact"/>
        <w:ind w:firstLine="480"/>
        <w:jc w:val="both"/>
      </w:pPr>
      <w:r>
        <w:rPr>
          <w:rFonts w:ascii="Times New Roman" w:hAnsi="Times New Roman" w:eastAsia="宋体"/>
          <w:b w:val="0"/>
          <w:sz w:val="24"/>
        </w:rPr>
        <w:t>系统支持层展示了底层的技术系统和数据流。核心系统包括：互联网医院平台前端（小程序和手机应用的前后端服务）、医生工作站系统、药师审核系统、统一管理平台、各院区HIS系统、LIS系统、PACS系统、药品调配系统（对接集团连锁药房ERP）、第三方物流配送系统和医保结算系统。</w:t>
      </w:r>
    </w:p>
    <w:p w14:paraId="5B8D3F0E">
      <w:pPr>
        <w:spacing w:before="0" w:after="0" w:line="400" w:lineRule="exact"/>
        <w:ind w:firstLine="480"/>
        <w:jc w:val="both"/>
      </w:pPr>
      <w:r>
        <w:rPr>
          <w:rFonts w:ascii="Times New Roman" w:hAnsi="Times New Roman" w:eastAsia="宋体"/>
          <w:b w:val="0"/>
          <w:sz w:val="24"/>
        </w:rPr>
        <w:t>在系统支持层中，已识别的关键断点包括：（1）平台与各院区HIS系统之间通过前置机进行数据交换，但部分院区的HIS版本较老，数据接口不完整，导致部分数据（如患者历史过敏记录）无法实时同步；（2）PACS影像系统的影像原片存储在院区本地服务器上，平台只能获取文字报告链接，复诊医生无法直接在平台内查看影像；（3）第三方物流系统的配送状态回传延迟，平台上的物流信息更新时间间隔较长；（4）各院区的药品目录数据库不统一，同一药品在不同院区的编码和名称可能不一致。</w:t>
      </w:r>
    </w:p>
    <w:p w14:paraId="413F270F">
      <w:pPr>
        <w:spacing w:before="240" w:after="120" w:line="240" w:lineRule="auto"/>
        <w:ind w:firstLine="520"/>
        <w:outlineLvl w:val="2"/>
      </w:pPr>
      <w:bookmarkStart w:id="65" w:name="_Toc7507"/>
      <w:r>
        <w:rPr>
          <w:rFonts w:ascii="Times New Roman" w:hAnsi="Times New Roman" w:eastAsia="黑体"/>
          <w:b/>
          <w:sz w:val="26"/>
        </w:rPr>
        <w:t>二、线上线下一体化流程再造</w:t>
      </w:r>
      <w:bookmarkEnd w:id="65"/>
    </w:p>
    <w:p w14:paraId="760E0F34">
      <w:pPr>
        <w:spacing w:before="0" w:after="0" w:line="400" w:lineRule="exact"/>
        <w:ind w:firstLine="480"/>
        <w:jc w:val="both"/>
      </w:pPr>
      <w:r>
        <w:rPr>
          <w:rFonts w:ascii="Times New Roman" w:hAnsi="Times New Roman" w:eastAsia="宋体"/>
          <w:b w:val="0"/>
          <w:sz w:val="24"/>
        </w:rPr>
        <w:t>基于流程诊断和AHP优先级排序（B1处方检查衔接断点为第一优先级），本节提出四个子方案，从不同维度系统性地解决线上线下一体化流程中的断点问题。</w:t>
      </w:r>
    </w:p>
    <w:p w14:paraId="46C7772F">
      <w:pPr>
        <w:spacing w:before="240" w:after="120" w:line="240" w:lineRule="auto"/>
        <w:ind w:firstLine="480"/>
        <w:outlineLvl w:val="3"/>
      </w:pPr>
      <w:r>
        <w:rPr>
          <w:rFonts w:ascii="Times New Roman" w:hAnsi="Times New Roman" w:eastAsia="黑体"/>
          <w:b/>
          <w:sz w:val="24"/>
        </w:rPr>
        <w:t>（一）问诊-检查闭环优化方案</w:t>
      </w:r>
    </w:p>
    <w:p w14:paraId="1A18E8C9">
      <w:pPr>
        <w:jc w:val="center"/>
      </w:pPr>
      <w:r>
        <w:drawing>
          <wp:inline distT="0" distB="0" distL="114300" distR="114300">
            <wp:extent cx="5039995" cy="3145790"/>
            <wp:effectExtent l="0" t="0" r="13335"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7"/>
                    <a:stretch>
                      <a:fillRect/>
                    </a:stretch>
                  </pic:blipFill>
                  <pic:spPr>
                    <a:xfrm>
                      <a:off x="0" y="0"/>
                      <a:ext cx="5040000" cy="3145800"/>
                    </a:xfrm>
                    <a:prstGeom prst="rect">
                      <a:avLst/>
                    </a:prstGeom>
                  </pic:spPr>
                </pic:pic>
              </a:graphicData>
            </a:graphic>
          </wp:inline>
        </w:drawing>
      </w:r>
    </w:p>
    <w:p w14:paraId="01688B2D">
      <w:pPr>
        <w:spacing w:before="0" w:after="0" w:line="400" w:lineRule="exact"/>
        <w:ind w:firstLine="480"/>
        <w:jc w:val="both"/>
      </w:pPr>
      <w:r>
        <w:rPr>
          <w:rFonts w:ascii="Times New Roman" w:hAnsi="Times New Roman" w:eastAsia="宋体"/>
          <w:b w:val="0"/>
          <w:sz w:val="24"/>
        </w:rPr>
        <w:t>图4.8 优化后业务流程图</w:t>
      </w:r>
    </w:p>
    <w:p w14:paraId="4C0E6716">
      <w:pPr>
        <w:spacing w:before="0" w:after="0" w:line="400" w:lineRule="exact"/>
        <w:ind w:firstLine="480"/>
        <w:jc w:val="both"/>
      </w:pPr>
      <w:r>
        <w:rPr>
          <w:rFonts w:ascii="Times New Roman" w:hAnsi="Times New Roman" w:eastAsia="宋体"/>
          <w:b w:val="0"/>
          <w:sz w:val="24"/>
        </w:rPr>
        <w:t>本方案对准当前最突出的流程断点——线上问诊开具检查申请后、患者线下检查及检查结果回传的衔接问题。核心思路是构建"一站式检查导航"机制，把线上预约、线下检查和线上结果查看整合成一个无缝闭环。</w:t>
      </w:r>
    </w:p>
    <w:p w14:paraId="52CB6261">
      <w:pPr>
        <w:spacing w:before="0" w:after="0" w:line="400" w:lineRule="exact"/>
        <w:ind w:firstLine="480"/>
        <w:jc w:val="both"/>
      </w:pPr>
      <w:r>
        <w:rPr>
          <w:rFonts w:ascii="Times New Roman" w:hAnsi="Times New Roman" w:eastAsia="宋体"/>
          <w:b w:val="0"/>
          <w:sz w:val="24"/>
        </w:rPr>
        <w:t>统一检查预约资源池是第一步棋。在管理平台上整合各院区的检查设备资源信息（CT、MRI、超声、内镜、检验设备等），形成跨院区检查资源的统一视图和实时可约状态查询。患者在线上收到检查申请后，系统自动匹配各院区该检查项目的最近可约时段，按距离、等待时间和患者偏好做智能排序推荐。医院A的旗舰设备排期紧张、患者等待过长时，系统主动推荐同城医院B或医院C的同类型设备，让集团内检查资源跨院区流动起来。</w:t>
      </w:r>
    </w:p>
    <w:p w14:paraId="5919FB11">
      <w:pPr>
        <w:spacing w:before="0" w:after="0" w:line="400" w:lineRule="exact"/>
        <w:ind w:firstLine="480"/>
        <w:jc w:val="both"/>
      </w:pPr>
      <w:r>
        <w:rPr>
          <w:rFonts w:ascii="Times New Roman" w:hAnsi="Times New Roman" w:eastAsia="宋体"/>
          <w:b w:val="0"/>
          <w:sz w:val="24"/>
        </w:rPr>
        <w:t>线上预约与线下签到之间的数据通道也要打通。在检查科室的前台登记系统中嵌入平台数据接口，线上预约信息自动同步。患者到达检查科室后，扫描平台生成的预约二维码即可签到，系统自动调取检查申请信息和历史病历，前台工作人员不再需要手动录入。按预期，检查签到环节的平均等待时间能从当前的15分钟压到5分钟以内。</w:t>
      </w:r>
    </w:p>
    <w:p w14:paraId="6A48EA9F">
      <w:pPr>
        <w:spacing w:before="0" w:after="0" w:line="400" w:lineRule="exact"/>
        <w:ind w:firstLine="480"/>
        <w:jc w:val="both"/>
      </w:pPr>
      <w:r>
        <w:rPr>
          <w:rFonts w:ascii="Times New Roman" w:hAnsi="Times New Roman" w:eastAsia="宋体"/>
          <w:b w:val="0"/>
          <w:sz w:val="24"/>
        </w:rPr>
        <w:t>检查结果的自动回传和智能提醒紧随其后。检查一完成，系统就把文字报告和影像链接推送至平台，同步以短信或APP消息通知患者。需要复诊的患者，在报告上传后会收到自动生成的复诊提醒和可预约的复诊时段；异常检查结果则在医生端以高优先级标记展示，确保得到及时处理。</w:t>
      </w:r>
    </w:p>
    <w:p w14:paraId="2AB091D7">
      <w:pPr>
        <w:spacing w:before="0" w:after="0" w:line="400" w:lineRule="exact"/>
        <w:ind w:firstLine="480"/>
        <w:jc w:val="both"/>
      </w:pPr>
      <w:r>
        <w:rPr>
          <w:rFonts w:ascii="Times New Roman" w:hAnsi="Times New Roman" w:eastAsia="宋体"/>
          <w:b w:val="0"/>
          <w:sz w:val="24"/>
        </w:rPr>
        <w:t>收尾的一环是跨院区检查结果互认。集团层面制定统一的互认标准，明确哪些检查项目的结果可以在不同院区之间直接互认，哪些需要补充或重新检查；技术上，在管理平台建立统一的检查结果索引数据库，支撑各院区检查结果的跨院区调阅。患者不必要的重复检查因此减少，多院区协同的效率也随之提升。</w:t>
      </w:r>
    </w:p>
    <w:p w14:paraId="7A80ED53">
      <w:pPr>
        <w:spacing w:before="240" w:after="120" w:line="240" w:lineRule="auto"/>
        <w:ind w:firstLine="480"/>
        <w:outlineLvl w:val="3"/>
      </w:pPr>
      <w:r>
        <w:rPr>
          <w:rFonts w:ascii="Times New Roman" w:hAnsi="Times New Roman" w:eastAsia="黑体"/>
          <w:b/>
          <w:sz w:val="24"/>
        </w:rPr>
        <w:t>（二）处方-取药链路打通方案</w:t>
      </w:r>
    </w:p>
    <w:p w14:paraId="0C4D6C51">
      <w:pPr>
        <w:spacing w:before="0" w:after="0" w:line="400" w:lineRule="exact"/>
        <w:ind w:firstLine="480"/>
        <w:jc w:val="both"/>
      </w:pPr>
      <w:r>
        <w:rPr>
          <w:rFonts w:ascii="Times New Roman" w:hAnsi="Times New Roman" w:eastAsia="宋体"/>
          <w:b w:val="0"/>
          <w:sz w:val="24"/>
        </w:rPr>
        <w:t>本方案针对处方开具后取药环节的效率和体验问题，优化线上处方流转到线下取药或配送的全链路。</w:t>
      </w:r>
    </w:p>
    <w:p w14:paraId="183E01A4">
      <w:pPr>
        <w:spacing w:before="0" w:after="0" w:line="400" w:lineRule="exact"/>
        <w:ind w:firstLine="480"/>
        <w:jc w:val="both"/>
      </w:pPr>
      <w:r>
        <w:rPr>
          <w:rFonts w:ascii="Times New Roman" w:hAnsi="Times New Roman" w:eastAsia="宋体"/>
          <w:b w:val="0"/>
          <w:sz w:val="24"/>
        </w:rPr>
        <w:t>三类处方流转场景的差异化优化是方案的主体。"到店"场景的重心放在平台与药店ERP系统的深度对接上：药店库存实时可查，患者在线上就能确认目标药店有所需药品；同时提供多家药店的价格对比信息（含医保报销后自付金额），帮患者做出最优选择。"到院"场景靠一个处方拆分规则引擎：嵌入HIS系统后，按药品类型（普通药品/特殊管理药品/冷链药品）和患者偏好自动推荐最优取药路径；可院外取药的处方，系统主动推送短信通知患者，减少患者在院内的无效等待。"到线"场景的突破口是医保在线支付的全面覆盖——支持不同险种（职工医保、居民医保）和多统筹地区的在线结算，消除患者因医保支付障碍而放弃配送到家的情况。</w:t>
      </w:r>
    </w:p>
    <w:p w14:paraId="44326AC8">
      <w:pPr>
        <w:spacing w:before="0" w:after="0" w:line="400" w:lineRule="exact"/>
        <w:ind w:firstLine="480"/>
        <w:jc w:val="both"/>
      </w:pPr>
      <w:r>
        <w:rPr>
          <w:rFonts w:ascii="Times New Roman" w:hAnsi="Times New Roman" w:eastAsia="宋体"/>
          <w:b w:val="0"/>
          <w:sz w:val="24"/>
        </w:rPr>
        <w:t>药品配送的全链路追溯体系同步升级。在现有配送跟踪的基础上，增加配送过程中的温湿度实时监控（特别是需要冷链配送的生物制剂），监控数据回传至平台，患者和药师都能实时查看。配送签收环节引入人脸识别技术，确保药品由患者本人或其授权人签收，压低药品安全风险。</w:t>
      </w:r>
    </w:p>
    <w:p w14:paraId="021CAA65">
      <w:pPr>
        <w:spacing w:before="0" w:after="0" w:line="400" w:lineRule="exact"/>
        <w:ind w:firstLine="480"/>
        <w:jc w:val="both"/>
      </w:pPr>
      <w:r>
        <w:rPr>
          <w:rFonts w:ascii="Times New Roman" w:hAnsi="Times New Roman" w:eastAsia="宋体"/>
          <w:b w:val="0"/>
          <w:sz w:val="24"/>
        </w:rPr>
        <w:t>此外再补一块处方流转状态实时追踪看板：患者端和医生端都能看到处方流转的全流程状态——处方审核进度、药品调配状态、物流位置、预计送达时间，既支持患者主动查询，也支持系统自动推送。</w:t>
      </w:r>
    </w:p>
    <w:p w14:paraId="235CFFA5">
      <w:pPr>
        <w:spacing w:before="240" w:after="120" w:line="240" w:lineRule="auto"/>
        <w:ind w:firstLine="480"/>
        <w:outlineLvl w:val="3"/>
      </w:pPr>
      <w:r>
        <w:rPr>
          <w:rFonts w:ascii="Times New Roman" w:hAnsi="Times New Roman" w:eastAsia="黑体"/>
          <w:b/>
          <w:sz w:val="24"/>
        </w:rPr>
        <w:t>（三）智能导诊与分流机制</w:t>
      </w:r>
    </w:p>
    <w:p w14:paraId="3ED44193">
      <w:pPr>
        <w:spacing w:before="0" w:after="0" w:line="400" w:lineRule="exact"/>
        <w:ind w:firstLine="480"/>
        <w:jc w:val="both"/>
      </w:pPr>
      <w:r>
        <w:rPr>
          <w:rFonts w:ascii="Times New Roman" w:hAnsi="Times New Roman" w:eastAsia="宋体"/>
          <w:b w:val="0"/>
          <w:sz w:val="24"/>
        </w:rPr>
        <w:t>本方案从服务入口端入手，优化患者的就医路径选择，减少信息不对称导致的低效就诊和流程返工。</w:t>
      </w:r>
    </w:p>
    <w:p w14:paraId="3A9BD3FB">
      <w:pPr>
        <w:spacing w:before="0" w:after="0" w:line="400" w:lineRule="exact"/>
        <w:ind w:firstLine="480"/>
        <w:jc w:val="both"/>
      </w:pPr>
      <w:r>
        <w:rPr>
          <w:rFonts w:ascii="Times New Roman" w:hAnsi="Times New Roman" w:eastAsia="宋体"/>
          <w:b w:val="0"/>
          <w:sz w:val="24"/>
        </w:rPr>
        <w:t>入口处的第一步是基于症状的智能导诊。患者提交问诊申请前，平台提供基于AI的智能导诊对话，以自然语言交互引导患者描述症状，系统根据知识图谱自动推荐最合适的科室和院区。已在集团旗下某院区有过就诊记录的患者，系统会优先调取其历史病历并给出提示（如"您上次在X科室就诊，是否继续该科室的复诊？"），重复选择和操作随之减少。</w:t>
      </w:r>
    </w:p>
    <w:p w14:paraId="5E0451EE">
      <w:pPr>
        <w:spacing w:before="0" w:after="0" w:line="400" w:lineRule="exact"/>
        <w:ind w:firstLine="480"/>
        <w:jc w:val="both"/>
      </w:pPr>
      <w:r>
        <w:rPr>
          <w:rFonts w:ascii="Times New Roman" w:hAnsi="Times New Roman" w:eastAsia="宋体"/>
          <w:b w:val="0"/>
          <w:sz w:val="24"/>
        </w:rPr>
        <w:t>患者分流则跟着实时负荷走。管理平台实时监控各院区、各科室的当前在线问诊排队长度和预计等待时间；当患者选择某院区某科室、而该科室当前等待时间超过阈值（如10分钟）时，系统自动推荐等待时间较短的同类科室（包括其他院区的同科室），并给出明确的等待时间对比。问诊需求由此在集团层面趋于动态均衡，部分院区过度拥挤、其他院区资源闲置的状况可以得到缓解。</w:t>
      </w:r>
    </w:p>
    <w:p w14:paraId="43E61581">
      <w:pPr>
        <w:spacing w:before="0" w:after="0" w:line="400" w:lineRule="exact"/>
        <w:ind w:firstLine="480"/>
        <w:jc w:val="both"/>
      </w:pPr>
      <w:r>
        <w:rPr>
          <w:rFonts w:ascii="Times New Roman" w:hAnsi="Times New Roman" w:eastAsia="宋体"/>
          <w:b w:val="0"/>
          <w:sz w:val="24"/>
        </w:rPr>
        <w:t>常见病和慢病的快捷复诊通道也要补上。高血压、糖尿病等常见慢病的复诊患者不必重新填写完整的问诊信息——系统自动调取最近一次就诊记录和用药情况，患者只需确认是否有变化并提交续方申请。复诊的操作步骤从常规的6-8步缩短为2-3步，门槛明显降了下来。</w:t>
      </w:r>
    </w:p>
    <w:p w14:paraId="2645D0CF">
      <w:pPr>
        <w:spacing w:before="240" w:after="120" w:line="240" w:lineRule="auto"/>
        <w:ind w:firstLine="480"/>
        <w:outlineLvl w:val="3"/>
      </w:pPr>
      <w:r>
        <w:rPr>
          <w:rFonts w:ascii="Times New Roman" w:hAnsi="Times New Roman" w:eastAsia="黑体"/>
          <w:b/>
          <w:sz w:val="24"/>
        </w:rPr>
        <w:t>（四）线上线下信息同步与一致性保障</w:t>
      </w:r>
    </w:p>
    <w:p w14:paraId="1E5B65CB">
      <w:pPr>
        <w:spacing w:before="0" w:after="0" w:line="400" w:lineRule="exact"/>
        <w:ind w:firstLine="480"/>
        <w:jc w:val="both"/>
      </w:pPr>
      <w:r>
        <w:rPr>
          <w:rFonts w:ascii="Times New Roman" w:hAnsi="Times New Roman" w:eastAsia="宋体"/>
          <w:b w:val="0"/>
          <w:sz w:val="24"/>
        </w:rPr>
        <w:t>本方案是前述三个子方案的底层支撑，从数据层面确保线上线下信息的实时同步和一致性。</w:t>
      </w:r>
    </w:p>
    <w:p w14:paraId="3F045C35">
      <w:pPr>
        <w:spacing w:before="0" w:after="0" w:line="400" w:lineRule="exact"/>
        <w:ind w:firstLine="480"/>
        <w:jc w:val="both"/>
      </w:pPr>
      <w:r>
        <w:rPr>
          <w:rFonts w:ascii="Times New Roman" w:hAnsi="Times New Roman" w:eastAsia="宋体"/>
          <w:b w:val="0"/>
          <w:sz w:val="24"/>
        </w:rPr>
        <w:t>接口标准化先行。集团层面制定数据接口标准规范，要求各院区HIS系统向管理平台开放标准化的患者基本信息、就诊记录、处方记录、检查结果和药品库存数据接口；医院C等HIS系统存在异构的院区，通过前置机适配器完成数据格式转换，保证数据交互的兼容性。这一步是所有流程优化方案的技术前提。</w:t>
      </w:r>
    </w:p>
    <w:p w14:paraId="7FF095EB">
      <w:pPr>
        <w:spacing w:before="0" w:after="0" w:line="400" w:lineRule="exact"/>
        <w:ind w:firstLine="480"/>
        <w:jc w:val="both"/>
      </w:pPr>
      <w:r>
        <w:rPr>
          <w:rFonts w:ascii="Times New Roman" w:hAnsi="Times New Roman" w:eastAsia="宋体"/>
          <w:b w:val="0"/>
          <w:sz w:val="24"/>
        </w:rPr>
        <w:t>在此之上建立主数据管理系统（MDM）：管理平台内构建统一的主数据管理模块，集中管理和映射患者身份、药品编码、疾病诊断编码、科室编码等核心主数据。不同院区的同一患者通过脱敏标识符关联，同一药品在不同院区的不同编码通过映射表转换，跨院区数据互通的准确性和一致性由此得到保证。</w:t>
      </w:r>
    </w:p>
    <w:p w14:paraId="08EDE220">
      <w:pPr>
        <w:spacing w:before="0" w:after="0" w:line="400" w:lineRule="exact"/>
        <w:ind w:firstLine="480"/>
        <w:jc w:val="both"/>
      </w:pPr>
      <w:r>
        <w:rPr>
          <w:rFonts w:ascii="Times New Roman" w:hAnsi="Times New Roman" w:eastAsia="宋体"/>
          <w:b w:val="0"/>
          <w:sz w:val="24"/>
        </w:rPr>
        <w:t>同步机制本身也要提速：把当前部分院区的T+1（次日）数据同步升级为实时或准实时（5分钟以内延迟）同步，让平台上的患者信息、处方状态、检查结果和药品库存等关键数据与实际业务状态保持高度一致。</w:t>
      </w:r>
    </w:p>
    <w:p w14:paraId="2CA9A82D">
      <w:pPr>
        <w:spacing w:before="240" w:after="120" w:line="240" w:lineRule="auto"/>
        <w:ind w:firstLine="520"/>
        <w:outlineLvl w:val="2"/>
      </w:pPr>
      <w:bookmarkStart w:id="66" w:name="_Toc8595"/>
      <w:r>
        <w:rPr>
          <w:rFonts w:ascii="Times New Roman" w:hAnsi="Times New Roman" w:eastAsia="黑体"/>
          <w:b/>
          <w:sz w:val="26"/>
        </w:rPr>
        <w:t>三、多院区协同机制设计</w:t>
      </w:r>
      <w:bookmarkEnd w:id="66"/>
    </w:p>
    <w:p w14:paraId="09E8F41D">
      <w:pPr>
        <w:spacing w:before="0" w:after="0" w:line="400" w:lineRule="exact"/>
        <w:ind w:firstLine="480"/>
        <w:jc w:val="both"/>
      </w:pPr>
      <w:r>
        <w:rPr>
          <w:rFonts w:ascii="Times New Roman" w:hAnsi="Times New Roman" w:eastAsia="宋体"/>
          <w:b w:val="0"/>
          <w:sz w:val="24"/>
        </w:rPr>
        <w:t>本方案针对AHP优先级排序中第二位的B4（多院区信息孤岛）问题，设计一套跨院区的协同运作机制。</w:t>
      </w:r>
    </w:p>
    <w:p w14:paraId="34153529">
      <w:pPr>
        <w:spacing w:before="240" w:after="120" w:line="240" w:lineRule="auto"/>
        <w:ind w:firstLine="480"/>
        <w:outlineLvl w:val="3"/>
      </w:pPr>
      <w:r>
        <w:rPr>
          <w:rFonts w:ascii="Times New Roman" w:hAnsi="Times New Roman" w:eastAsia="黑体"/>
          <w:b/>
          <w:sz w:val="24"/>
        </w:rPr>
        <w:t>（一）统一患者身份与数据互通</w:t>
      </w:r>
    </w:p>
    <w:p w14:paraId="0AA7BEFA">
      <w:pPr>
        <w:jc w:val="center"/>
      </w:pPr>
      <w:r>
        <w:drawing>
          <wp:inline distT="0" distB="0" distL="114300" distR="114300">
            <wp:extent cx="5039995" cy="3742055"/>
            <wp:effectExtent l="0" t="0" r="13335" b="1143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8"/>
                    <a:stretch>
                      <a:fillRect/>
                    </a:stretch>
                  </pic:blipFill>
                  <pic:spPr>
                    <a:xfrm>
                      <a:off x="0" y="0"/>
                      <a:ext cx="5040000" cy="3742200"/>
                    </a:xfrm>
                    <a:prstGeom prst="rect">
                      <a:avLst/>
                    </a:prstGeom>
                  </pic:spPr>
                </pic:pic>
              </a:graphicData>
            </a:graphic>
          </wp:inline>
        </w:drawing>
      </w:r>
    </w:p>
    <w:p w14:paraId="0AF956C2">
      <w:pPr>
        <w:spacing w:before="0" w:after="0" w:line="400" w:lineRule="exact"/>
        <w:ind w:firstLine="480"/>
        <w:jc w:val="both"/>
      </w:pPr>
      <w:r>
        <w:rPr>
          <w:rFonts w:ascii="Times New Roman" w:hAnsi="Times New Roman" w:eastAsia="宋体"/>
          <w:b w:val="0"/>
          <w:sz w:val="24"/>
        </w:rPr>
        <w:t>图4.9 多院区协同架构</w:t>
      </w:r>
    </w:p>
    <w:p w14:paraId="241A4485">
      <w:pPr>
        <w:spacing w:before="0" w:after="0" w:line="400" w:lineRule="exact"/>
        <w:ind w:firstLine="480"/>
        <w:jc w:val="both"/>
      </w:pPr>
      <w:r>
        <w:rPr>
          <w:rFonts w:ascii="Times New Roman" w:hAnsi="Times New Roman" w:eastAsia="宋体"/>
          <w:b w:val="0"/>
          <w:sz w:val="24"/>
        </w:rPr>
        <w:t>建立集团统一的患者身份标识体系。在管理平台上为每一位患者创建集团级的统一身份编码，该编码与各院区的本地患者编码建立一对多的映射关系。患者在集团旗下任意一家医院就诊时，系统自动识别其统一身份，关联调用其在所有院区的历史就诊记录、检查结果和用药记录。统一的患者健康档案包含以下核心信息模块：基本信息（年龄区间、性别等脱敏信息）、就诊摘要（各院区历次在线和线下就诊记录）、检查报告索引（各院区的检查报告及互认状态标注）、用药记录（当前和历史用药的完整清单）和过敏史（各院区记录的统一整合）。</w:t>
      </w:r>
    </w:p>
    <w:p w14:paraId="1A46B1E9">
      <w:pPr>
        <w:spacing w:before="0" w:after="0" w:line="400" w:lineRule="exact"/>
        <w:ind w:firstLine="480"/>
        <w:jc w:val="both"/>
      </w:pPr>
      <w:r>
        <w:rPr>
          <w:rFonts w:ascii="Times New Roman" w:hAnsi="Times New Roman" w:eastAsia="宋体"/>
          <w:b w:val="0"/>
          <w:sz w:val="24"/>
        </w:rPr>
        <w:t>在患者同意和授权的前提下，实现病历信息的跨院区共享。技术实现上，采用患者授权码机制：患者在平台前端授权后，接诊医生方可在问诊时调阅患者在集团其他院区的就诊记录。该机制在保障患者隐私的同时，解决了信息孤岛导致的信息断层问题。</w:t>
      </w:r>
    </w:p>
    <w:p w14:paraId="7F3AA199">
      <w:pPr>
        <w:spacing w:before="240" w:after="120" w:line="240" w:lineRule="auto"/>
        <w:ind w:firstLine="480"/>
        <w:outlineLvl w:val="3"/>
      </w:pPr>
      <w:r>
        <w:rPr>
          <w:rFonts w:ascii="Times New Roman" w:hAnsi="Times New Roman" w:eastAsia="黑体"/>
          <w:b/>
          <w:sz w:val="24"/>
        </w:rPr>
        <w:t>（二）跨院区资源调度与转诊机制</w:t>
      </w:r>
    </w:p>
    <w:p w14:paraId="7D4A6776">
      <w:pPr>
        <w:spacing w:before="0" w:after="0" w:line="400" w:lineRule="exact"/>
        <w:ind w:firstLine="480"/>
        <w:jc w:val="both"/>
      </w:pPr>
      <w:r>
        <w:rPr>
          <w:rFonts w:ascii="Times New Roman" w:hAnsi="Times New Roman" w:eastAsia="宋体"/>
          <w:b w:val="0"/>
          <w:sz w:val="24"/>
        </w:rPr>
        <w:t>建立集团层面的跨院区资源调度平台。将各院区的医生资源（特别是专家资源）、检查设备资源和药品库存资源进行统一登记和实时状态监控。当某院区的某类资源出现瓶颈（如某科室专家号源紧张）时，调度平台自动推荐其他院区的同类可用资源。</w:t>
      </w:r>
    </w:p>
    <w:p w14:paraId="022AD426">
      <w:pPr>
        <w:spacing w:before="0" w:after="0" w:line="400" w:lineRule="exact"/>
        <w:ind w:firstLine="480"/>
        <w:jc w:val="both"/>
      </w:pPr>
      <w:r>
        <w:rPr>
          <w:rFonts w:ascii="Times New Roman" w:hAnsi="Times New Roman" w:eastAsia="宋体"/>
          <w:b w:val="0"/>
          <w:sz w:val="24"/>
        </w:rPr>
        <w:t>设计标准化的跨院区转诊流程。当接诊医生判断患者需要转至另一院区就诊时（例如，某专科检查仅在特定院区可做），可通过平台发起电子转诊申请。转诊申请包含患者当前问诊摘要、转诊原因和所需服务类型，目标院区的相应科室收到转诊请求后在线确认接诊。转诊过程全程记录，形成完整的责任链和追溯路径。</w:t>
      </w:r>
    </w:p>
    <w:p w14:paraId="51ED9479">
      <w:pPr>
        <w:spacing w:before="0" w:after="0" w:line="400" w:lineRule="exact"/>
        <w:ind w:firstLine="480"/>
        <w:jc w:val="both"/>
      </w:pPr>
      <w:r>
        <w:rPr>
          <w:rFonts w:ascii="Times New Roman" w:hAnsi="Times New Roman" w:eastAsia="宋体"/>
          <w:b w:val="0"/>
          <w:sz w:val="24"/>
        </w:rPr>
        <w:t>建立跨院区专家协同问诊机制。对于疑难病例，初诊院区的医生可通过平台邀请其他院区的相关专家加入在线会诊。多方协同问诊通过视频会议方式开展，各参与方可同步查看患者的电子病历和检查结果。该机制在不打破各院区独立运营体制的前提下，实现了专家资源的灵活共享。</w:t>
      </w:r>
    </w:p>
    <w:p w14:paraId="28FE2AF4">
      <w:pPr>
        <w:spacing w:before="240" w:after="120" w:line="240" w:lineRule="auto"/>
        <w:ind w:firstLine="480"/>
        <w:outlineLvl w:val="3"/>
      </w:pPr>
      <w:r>
        <w:rPr>
          <w:rFonts w:ascii="Times New Roman" w:hAnsi="Times New Roman" w:eastAsia="黑体"/>
          <w:b/>
          <w:sz w:val="24"/>
        </w:rPr>
        <w:t>（三）集中化质控与分布式执行</w:t>
      </w:r>
    </w:p>
    <w:p w14:paraId="2DDA6305">
      <w:pPr>
        <w:spacing w:before="0" w:after="0" w:line="400" w:lineRule="exact"/>
        <w:ind w:firstLine="480"/>
        <w:jc w:val="both"/>
      </w:pPr>
      <w:r>
        <w:rPr>
          <w:rFonts w:ascii="Times New Roman" w:hAnsi="Times New Roman" w:eastAsia="宋体"/>
          <w:b w:val="0"/>
          <w:sz w:val="24"/>
        </w:rPr>
        <w:t>构建"集团集中质控+院区分布式执行"的两级质量管理模式。集团层面在管理平台上建立统一的在线医疗服务质量标准和监控指标体系，对各院区的在线问诊质量、处方合格率、患者满意度等关键指标进行实时监控和定期排名。标准体系中包括：接诊时限标准（医生须在规定时间内接诊）、处方合规标准（处方须满足AI审核和人工审核的双重合规要求）。需要强调的是，本方案中AI应用的定位严格限于"辅助"边界：AI智能审方引擎仅提供决策支持提示，最终审核结论由具有执业资质的药师电子签名确认；AI导诊仅提供分诊建议，诊疗决策始终由执业医师做出。这一"AI辅助、人工决策"的边界设计符合互联网诊疗与医疗人工智能应用的监管合规要求，也是本方案设计的伦理前提、患者反馈响应标准（患者投诉须在规定时间内得到响应和处理）和服务满意度基线的动态调整机制。</w:t>
      </w:r>
    </w:p>
    <w:p w14:paraId="26998195">
      <w:pPr>
        <w:spacing w:before="0" w:after="0" w:line="400" w:lineRule="exact"/>
        <w:ind w:firstLine="480"/>
        <w:jc w:val="both"/>
      </w:pPr>
      <w:r>
        <w:rPr>
          <w:rFonts w:ascii="Times New Roman" w:hAnsi="Times New Roman" w:eastAsia="宋体"/>
          <w:b w:val="0"/>
          <w:sz w:val="24"/>
        </w:rPr>
        <w:t>各院区在集团统一标准框架下，享有操作层面的灵活执行权。例如，各院区可根据自身的科室特色和医生资源情况，制定符合集团标准的具体排班方案和接诊流程细节。院区间定期开展质量对标和经验分享，促进最佳实践的跨院区扩散。</w:t>
      </w:r>
    </w:p>
    <w:p w14:paraId="59CAFEC3">
      <w:pPr>
        <w:spacing w:before="240" w:after="120" w:line="240" w:lineRule="auto"/>
        <w:ind w:firstLine="520"/>
        <w:outlineLvl w:val="2"/>
      </w:pPr>
      <w:bookmarkStart w:id="67" w:name="_Toc32100"/>
      <w:r>
        <w:rPr>
          <w:rFonts w:ascii="Times New Roman" w:hAnsi="Times New Roman" w:eastAsia="黑体"/>
          <w:b/>
          <w:sz w:val="26"/>
        </w:rPr>
        <w:t>四、数据驱动的智能质控体系</w:t>
      </w:r>
      <w:bookmarkEnd w:id="67"/>
    </w:p>
    <w:p w14:paraId="54DAABB7">
      <w:pPr>
        <w:spacing w:before="0" w:after="0" w:line="400" w:lineRule="exact"/>
        <w:ind w:firstLine="480"/>
        <w:jc w:val="both"/>
      </w:pPr>
      <w:r>
        <w:rPr>
          <w:rFonts w:ascii="Times New Roman" w:hAnsi="Times New Roman" w:eastAsia="宋体"/>
          <w:b w:val="0"/>
          <w:sz w:val="24"/>
        </w:rPr>
        <w:t>本方案把数据驱动质控的理念落成具体设计，目标是让平台积累的运营数据变成实时的质量管理工具。</w:t>
      </w:r>
    </w:p>
    <w:p w14:paraId="011021FB">
      <w:pPr>
        <w:spacing w:before="0" w:after="0" w:line="400" w:lineRule="exact"/>
        <w:ind w:firstLine="480"/>
        <w:jc w:val="both"/>
      </w:pPr>
      <w:r>
        <w:rPr>
          <w:rFonts w:ascii="Times New Roman" w:hAnsi="Times New Roman" w:eastAsia="宋体"/>
          <w:b w:val="0"/>
          <w:sz w:val="24"/>
        </w:rPr>
        <w:t>实时流程监控看板是第一件要做的事。基于管理平台的运营数据，为集团和院区管理层提供可视化、实时的流程运行监控看板，按院区、科室、事件类型等维度展示核心指标：当前在线问诊队列长度及预估等待时间、今日处方开具量与审核通过率、今日检查预约量与完成量、药品配送成功率与平均配送时长、各环节当前异常事件数量（如超时未接诊、处方审核超时等）。管理层扫一眼看板，就能识别异常的流程运行状态，及时介入人工干预和资源调度。</w:t>
      </w:r>
    </w:p>
    <w:p w14:paraId="64C395EE">
      <w:pPr>
        <w:spacing w:before="0" w:after="0" w:line="400" w:lineRule="exact"/>
        <w:ind w:firstLine="480"/>
        <w:jc w:val="both"/>
      </w:pPr>
      <w:r>
        <w:rPr>
          <w:rFonts w:ascii="Times New Roman" w:hAnsi="Times New Roman" w:eastAsia="宋体"/>
          <w:b w:val="0"/>
          <w:sz w:val="24"/>
        </w:rPr>
        <w:t>光有看板还不够，异常流程的自动预警机制跟上：为各环节设定关键阈值（如医生接诊超过15分钟、处方审核超过20分钟、检查结果上传超过24小时等），系统自动检测超过阈值的异常事件，通过短信或APP消息向相关责任人和管理层发送预警通知。预警信息里带着异常事件的详细情况（案例ID、发生时间、当前停留环节、超时时长），责任人可以快速定位和响应。</w:t>
      </w:r>
    </w:p>
    <w:p w14:paraId="30DAB48C">
      <w:pPr>
        <w:spacing w:before="0" w:after="0" w:line="400" w:lineRule="exact"/>
        <w:ind w:firstLine="480"/>
        <w:jc w:val="both"/>
      </w:pPr>
      <w:r>
        <w:rPr>
          <w:rFonts w:ascii="Times New Roman" w:hAnsi="Times New Roman" w:eastAsia="宋体"/>
          <w:b w:val="0"/>
          <w:sz w:val="24"/>
        </w:rPr>
        <w:t>看板与预警之上，是一个数据驱动的持续改进循环（PDCA）：每月汇总分析流程运行数据，识别新的瓶颈变化趋势和模式，形成改进建议报告；管理层根据报告调整优化方案，调整后的方案在下一个月度周期中再次接受数据验证，"数据诊断→方案调整→效果验证→再优化"的持续改进闭环就此转起来。</w:t>
      </w:r>
    </w:p>
    <w:p w14:paraId="2BA67094">
      <w:pPr>
        <w:spacing w:before="240" w:after="120" w:line="240" w:lineRule="auto"/>
        <w:ind w:firstLine="520"/>
        <w:outlineLvl w:val="2"/>
      </w:pPr>
      <w:bookmarkStart w:id="68" w:name="_Toc23406"/>
      <w:r>
        <w:rPr>
          <w:rFonts w:ascii="Times New Roman" w:hAnsi="Times New Roman" w:eastAsia="黑体"/>
          <w:b/>
          <w:sz w:val="26"/>
        </w:rPr>
        <w:t>五、优化后服务蓝图</w:t>
      </w:r>
      <w:bookmarkEnd w:id="68"/>
    </w:p>
    <w:p w14:paraId="53F4A587">
      <w:pPr>
        <w:spacing w:before="0" w:after="0" w:line="400" w:lineRule="exact"/>
        <w:ind w:firstLine="480"/>
        <w:jc w:val="both"/>
      </w:pPr>
      <w:r>
        <w:rPr>
          <w:rFonts w:ascii="Times New Roman" w:hAnsi="Times New Roman" w:eastAsia="宋体"/>
          <w:b w:val="0"/>
          <w:sz w:val="24"/>
        </w:rPr>
        <w:t>在完成上述三组优化方案设计后，绘制优化后的服务蓝图，与现状服务蓝图进行对比，以直观展示优化的效果。</w:t>
      </w:r>
    </w:p>
    <w:p w14:paraId="3F77774E">
      <w:pPr>
        <w:jc w:val="center"/>
      </w:pPr>
      <w:r>
        <w:drawing>
          <wp:inline distT="0" distB="0" distL="114300" distR="114300">
            <wp:extent cx="5039995" cy="3706495"/>
            <wp:effectExtent l="0" t="0" r="1333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9"/>
                    <a:stretch>
                      <a:fillRect/>
                    </a:stretch>
                  </pic:blipFill>
                  <pic:spPr>
                    <a:xfrm>
                      <a:off x="0" y="0"/>
                      <a:ext cx="5040000" cy="3706500"/>
                    </a:xfrm>
                    <a:prstGeom prst="rect">
                      <a:avLst/>
                    </a:prstGeom>
                  </pic:spPr>
                </pic:pic>
              </a:graphicData>
            </a:graphic>
          </wp:inline>
        </w:drawing>
      </w:r>
    </w:p>
    <w:p w14:paraId="686B5B9D">
      <w:pPr>
        <w:spacing w:before="0" w:after="0" w:line="400" w:lineRule="exact"/>
        <w:ind w:firstLine="480"/>
        <w:jc w:val="both"/>
      </w:pPr>
      <w:r>
        <w:rPr>
          <w:rFonts w:ascii="Times New Roman" w:hAnsi="Times New Roman" w:eastAsia="宋体"/>
          <w:b w:val="0"/>
          <w:sz w:val="24"/>
        </w:rPr>
        <w:t>图4.10 优化后服务蓝图</w:t>
      </w:r>
    </w:p>
    <w:p w14:paraId="5EF4AD2F">
      <w:pPr>
        <w:spacing w:before="0" w:after="0" w:line="400" w:lineRule="exact"/>
        <w:ind w:firstLine="480"/>
        <w:jc w:val="both"/>
      </w:pPr>
      <w:r>
        <w:rPr>
          <w:rFonts w:ascii="Times New Roman" w:hAnsi="Times New Roman" w:eastAsia="宋体"/>
          <w:b w:val="0"/>
          <w:sz w:val="24"/>
        </w:rPr>
        <w:t>优化后服务蓝图在患者行为层的主要变化包括：（1）问诊申请前增加智能导诊环节，引导患者快速选择最优院区和科室；（2）等待医生接诊期间增加实时进度显示和预计等待时间提示；（3）检查环节从"线上预约+线下单独签到"简化为"线上预约+扫码签到"的一体化流程；（4）增加跨院区资源推荐节点，当所选院区检查排期较长时主动推荐其他院区。</w:t>
      </w:r>
    </w:p>
    <w:p w14:paraId="360B6B73">
      <w:pPr>
        <w:spacing w:before="0" w:after="0" w:line="400" w:lineRule="exact"/>
        <w:ind w:firstLine="480"/>
        <w:jc w:val="both"/>
      </w:pPr>
      <w:r>
        <w:rPr>
          <w:rFonts w:ascii="Times New Roman" w:hAnsi="Times New Roman" w:eastAsia="宋体"/>
          <w:b w:val="0"/>
          <w:sz w:val="24"/>
        </w:rPr>
        <w:t>优化后服务蓝图在后台操作层的主要变化包括：（1）医生端增加跨院区患者历史记录调阅功能，减少信息断层；（2）药师审核端增加完整用药史查看，提升审核准确性；（3）检查科室增加平台同步的电子签到功能，减少人工录入。</w:t>
      </w:r>
    </w:p>
    <w:p w14:paraId="466F129E">
      <w:pPr>
        <w:spacing w:before="0" w:after="0" w:line="400" w:lineRule="exact"/>
        <w:ind w:firstLine="480"/>
        <w:jc w:val="both"/>
      </w:pPr>
      <w:r>
        <w:rPr>
          <w:rFonts w:ascii="Times New Roman" w:hAnsi="Times New Roman" w:eastAsia="宋体"/>
          <w:b w:val="0"/>
          <w:sz w:val="24"/>
        </w:rPr>
        <w:t>优化后服务蓝图在系统支持层的主要变化包括：（1）新增统一检查预约资源池模块，整合各院区检查资源；（2）升级数据同步机制为实时或准实时同步；（3）新增跨院区主数据管理模块；（4）新增异常流程自动预警引擎；（5）新增跨院区转诊管理和专家协同模块。</w:t>
      </w:r>
    </w:p>
    <w:p w14:paraId="607D298C">
      <w:pPr>
        <w:spacing w:before="0" w:after="0" w:line="400" w:lineRule="exact"/>
        <w:ind w:firstLine="480"/>
        <w:jc w:val="both"/>
      </w:pPr>
      <w:r>
        <w:rPr>
          <w:rFonts w:ascii="Times New Roman" w:hAnsi="Times New Roman" w:eastAsia="宋体"/>
          <w:b w:val="0"/>
          <w:sz w:val="24"/>
        </w:rPr>
        <w:t>优化后的服务蓝图（图4.10）与现状服务蓝图（图4.7）进行并列对比。两者对比将清晰地呈现：流程断点是否被消除、患者等待时间是否缩短、跨院区数据是否打通、质控预警机制是否建立。这将为下一节的试点验证提供明确的评估对照基准。</w:t>
      </w:r>
    </w:p>
    <w:p w14:paraId="6430FE90">
      <w:pPr>
        <w:spacing w:before="480" w:after="120" w:line="240" w:lineRule="auto"/>
        <w:jc w:val="center"/>
        <w:outlineLvl w:val="1"/>
      </w:pPr>
      <w:bookmarkStart w:id="69" w:name="_Toc11083"/>
      <w:r>
        <w:rPr>
          <w:rFonts w:ascii="Times New Roman" w:hAnsi="Times New Roman" w:eastAsia="黑体"/>
          <w:b/>
          <w:sz w:val="28"/>
        </w:rPr>
        <w:t>第五节　试点验证与效果评估</w:t>
      </w:r>
      <w:bookmarkEnd w:id="69"/>
    </w:p>
    <w:p w14:paraId="036AD734">
      <w:pPr>
        <w:spacing w:before="0" w:after="0" w:line="400" w:lineRule="exact"/>
        <w:ind w:firstLine="480"/>
        <w:jc w:val="both"/>
      </w:pPr>
      <w:r>
        <w:rPr>
          <w:rFonts w:ascii="Times New Roman" w:hAnsi="Times New Roman" w:eastAsia="宋体"/>
          <w:b w:val="0"/>
          <w:sz w:val="24"/>
        </w:rPr>
        <w:t>优化方案是否有效，要靠数据来检验。本节按准实验设计，在旗舰院区（医院A）落地第四章第四节的方案，再用优化前后的数据对比和AHP综合评价，定量检验实际效果。</w:t>
      </w:r>
    </w:p>
    <w:p w14:paraId="53EB92E1">
      <w:pPr>
        <w:spacing w:before="240" w:after="120" w:line="240" w:lineRule="auto"/>
        <w:ind w:firstLine="520"/>
        <w:outlineLvl w:val="2"/>
      </w:pPr>
      <w:bookmarkStart w:id="70" w:name="_Toc632"/>
      <w:r>
        <w:rPr>
          <w:rFonts w:ascii="Times New Roman" w:hAnsi="Times New Roman" w:eastAsia="黑体"/>
          <w:b/>
          <w:sz w:val="26"/>
        </w:rPr>
        <w:t>一、试点实施过程</w:t>
      </w:r>
      <w:bookmarkEnd w:id="70"/>
    </w:p>
    <w:p w14:paraId="089C6728">
      <w:pPr>
        <w:spacing w:before="240" w:after="120" w:line="240" w:lineRule="auto"/>
        <w:ind w:firstLine="480"/>
        <w:outlineLvl w:val="3"/>
      </w:pPr>
      <w:r>
        <w:rPr>
          <w:rFonts w:ascii="Times New Roman" w:hAnsi="Times New Roman" w:eastAsia="黑体"/>
          <w:b/>
          <w:sz w:val="24"/>
        </w:rPr>
        <w:t>（一）试点院区与流程选择</w:t>
      </w:r>
    </w:p>
    <w:p w14:paraId="4F2ABBDA">
      <w:pPr>
        <w:spacing w:before="0" w:after="0" w:line="400" w:lineRule="exact"/>
        <w:ind w:firstLine="480"/>
        <w:jc w:val="both"/>
      </w:pPr>
      <w:r>
        <w:rPr>
          <w:rFonts w:ascii="Times New Roman" w:hAnsi="Times New Roman" w:eastAsia="宋体"/>
          <w:b w:val="0"/>
          <w:sz w:val="24"/>
        </w:rPr>
        <w:t>经与集团管理层沟通，选取医院A作为优化方案的试点院区。选择医院A的依据包括：其在平台服务量中占比最高（约45%），代表性最强；信息系统基础条件在集团内最为完善，具备实施优化方案的技术先决条件；医院管理层对流程优化试点表达了明确的支持意愿。在试点流程的选择上，依据AHP瓶颈优先级排序结果（表4.10），优先实施得分排名前两位的优化项目：B1（处方到线下检查的衔接断点优化，得分0.215）和B4（多院区信息孤岛打通，得分0.198）。同时，协同实施与B1紧密关联的智能导诊分流和处方流转三类场景优化等配套措施——前者是消除B1断点、改善患者前端体验的前置支撑条件，后者作为B1方案的配套试点。由此形成"优先方向（B1、B4）+配套措施"的试点组合，以确保流程闭环的完整性。</w:t>
      </w:r>
    </w:p>
    <w:p w14:paraId="3E85CB7B">
      <w:pPr>
        <w:spacing w:before="0" w:after="0" w:line="400" w:lineRule="exact"/>
        <w:ind w:firstLine="480"/>
        <w:jc w:val="both"/>
      </w:pPr>
      <w:r>
        <w:rPr>
          <w:rFonts w:ascii="Times New Roman" w:hAnsi="Times New Roman" w:eastAsia="宋体"/>
          <w:b w:val="0"/>
          <w:sz w:val="24"/>
        </w:rPr>
        <w:t>对照组选取医院B。医院B的服务体量与医院A最为接近（平台服务量占比约21%），在优化实施前的基线指标（表4.6和表4.7）上与医院A具有一定的可比性。对照组在试点期间不实施优化方案，维持原有流程不变，以控制时间趋势和其他外部因素的影响。</w:t>
      </w:r>
    </w:p>
    <w:p w14:paraId="15E29E88">
      <w:pPr>
        <w:spacing w:before="240" w:after="120" w:line="240" w:lineRule="auto"/>
        <w:ind w:firstLine="480"/>
        <w:outlineLvl w:val="3"/>
      </w:pPr>
      <w:r>
        <w:rPr>
          <w:rFonts w:ascii="Times New Roman" w:hAnsi="Times New Roman" w:eastAsia="黑体"/>
          <w:b/>
          <w:sz w:val="24"/>
        </w:rPr>
        <w:t>（二）实施时间线</w:t>
      </w:r>
    </w:p>
    <w:p w14:paraId="535EF70B">
      <w:pPr>
        <w:spacing w:before="0" w:after="0" w:line="400" w:lineRule="exact"/>
        <w:ind w:firstLine="480"/>
        <w:jc w:val="both"/>
      </w:pPr>
      <w:r>
        <w:rPr>
          <w:rFonts w:ascii="Times New Roman" w:hAnsi="Times New Roman" w:eastAsia="宋体"/>
          <w:b w:val="0"/>
          <w:sz w:val="24"/>
        </w:rPr>
        <w:t>试点实施时间为2026年3月初至5月底，约三个月。具体里程碑如下：</w:t>
      </w:r>
    </w:p>
    <w:p w14:paraId="50A729D5">
      <w:pPr>
        <w:spacing w:before="0" w:after="0" w:line="400" w:lineRule="exact"/>
        <w:ind w:firstLine="480"/>
        <w:jc w:val="both"/>
      </w:pPr>
      <w:r>
        <w:rPr>
          <w:rFonts w:ascii="Times New Roman" w:hAnsi="Times New Roman" w:eastAsia="宋体"/>
          <w:b w:val="0"/>
          <w:sz w:val="24"/>
        </w:rPr>
        <w:t>2026年3月第一周：完成优化方案的技术准备工作，包括管理平台统一检查预约资源池模块的部署和测试、医院A前端智能导诊功能的灰度上线、统一患者身份标识体系在医院A的数据初始化。3月第二周：完成医院A内部相关科室（内科、外科、妇产科）的系统切换和流程培训，共培训医生42名、药师8名和前台工作人员15名。培训内容包括新流程的操作规范、跨院区数据调阅的授权管理和异常情况的处理预案。3月第三周至5月底：优化方案正式运行，持续收集业务数据。对照期的前测数据取自2025年12月至2026年2月期间的平台运营数据（48个月历史数据中截取最近三个月），后测数据在试点运行期间实时收集。</w:t>
      </w:r>
    </w:p>
    <w:p w14:paraId="2515CC57">
      <w:pPr>
        <w:spacing w:before="240" w:after="120" w:line="240" w:lineRule="auto"/>
        <w:ind w:firstLine="480"/>
        <w:outlineLvl w:val="3"/>
      </w:pPr>
      <w:r>
        <w:rPr>
          <w:rFonts w:ascii="Times New Roman" w:hAnsi="Times New Roman" w:eastAsia="黑体"/>
          <w:b/>
          <w:sz w:val="24"/>
        </w:rPr>
        <w:t>（三）实施中的调整</w:t>
      </w:r>
    </w:p>
    <w:p w14:paraId="639C26FF">
      <w:pPr>
        <w:spacing w:before="0" w:after="0" w:line="400" w:lineRule="exact"/>
        <w:ind w:firstLine="480"/>
        <w:jc w:val="both"/>
      </w:pPr>
      <w:r>
        <w:rPr>
          <w:rFonts w:ascii="Times New Roman" w:hAnsi="Times New Roman" w:eastAsia="宋体"/>
          <w:b w:val="0"/>
          <w:sz w:val="24"/>
        </w:rPr>
        <w:t>试点刚起步，两个问题就冒了出来，都需要及时调整。一个是技术层面的：部分老版本HIS系统的数据接口在接入统一检查预约资源池时出现数据格式不兼容。技术团队通过前置机适配器临时增加了一个数据格式转换层，把老旧系统的数据格式映射为集团标准格式，兼容性问题就此解决——多花了约三天时间，但没有动摇试点的整体进度。另一个是人的层面的：医生对新流程的接受度参差不齐，年轻医生适应快，部分资深医生对线上操作的变化有些抵触。项目组的应对是在3月第二周加开两场一对一操作辅导，同时简化操作流程。到3月底，医生对新流程的满意度已回到可接受水平。</w:t>
      </w:r>
    </w:p>
    <w:p w14:paraId="684BA728">
      <w:pPr>
        <w:spacing w:before="240" w:after="120" w:line="240" w:lineRule="auto"/>
        <w:ind w:firstLine="520"/>
        <w:outlineLvl w:val="2"/>
      </w:pPr>
      <w:bookmarkStart w:id="71" w:name="_Toc23190"/>
      <w:r>
        <w:rPr>
          <w:rFonts w:ascii="Times New Roman" w:hAnsi="Times New Roman" w:eastAsia="黑体"/>
          <w:b/>
          <w:sz w:val="26"/>
        </w:rPr>
        <w:t>二、准实验对比分析</w:t>
      </w:r>
      <w:bookmarkEnd w:id="71"/>
    </w:p>
    <w:p w14:paraId="56D20770">
      <w:pPr>
        <w:spacing w:before="240" w:after="120" w:line="240" w:lineRule="auto"/>
        <w:ind w:firstLine="480"/>
        <w:outlineLvl w:val="3"/>
      </w:pPr>
      <w:r>
        <w:rPr>
          <w:rFonts w:ascii="Times New Roman" w:hAnsi="Times New Roman" w:eastAsia="黑体"/>
          <w:b/>
          <w:sz w:val="24"/>
        </w:rPr>
        <w:t>（一）流程效率对比</w:t>
      </w:r>
    </w:p>
    <w:p w14:paraId="59FC3B65">
      <w:pPr>
        <w:jc w:val="center"/>
      </w:pPr>
      <w:r>
        <w:drawing>
          <wp:inline distT="0" distB="0" distL="114300" distR="114300">
            <wp:extent cx="5039995" cy="2908300"/>
            <wp:effectExtent l="0" t="0" r="13335" b="1270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30"/>
                    <a:stretch>
                      <a:fillRect/>
                    </a:stretch>
                  </pic:blipFill>
                  <pic:spPr>
                    <a:xfrm>
                      <a:off x="0" y="0"/>
                      <a:ext cx="5040000" cy="2908500"/>
                    </a:xfrm>
                    <a:prstGeom prst="rect">
                      <a:avLst/>
                    </a:prstGeom>
                  </pic:spPr>
                </pic:pic>
              </a:graphicData>
            </a:graphic>
          </wp:inline>
        </w:drawing>
      </w:r>
    </w:p>
    <w:p w14:paraId="4A9ED854">
      <w:pPr>
        <w:spacing w:before="0" w:after="0" w:line="400" w:lineRule="exact"/>
        <w:ind w:firstLine="480"/>
        <w:jc w:val="both"/>
      </w:pPr>
      <w:r>
        <w:rPr>
          <w:rFonts w:ascii="Times New Roman" w:hAnsi="Times New Roman" w:eastAsia="宋体"/>
          <w:b w:val="0"/>
          <w:sz w:val="24"/>
        </w:rPr>
        <w:t>图4.11 KPI对比图</w:t>
      </w:r>
    </w:p>
    <w:p w14:paraId="59C4E3F7">
      <w:pPr>
        <w:spacing w:before="0" w:after="0" w:line="400" w:lineRule="exact"/>
        <w:ind w:firstLine="480"/>
        <w:jc w:val="both"/>
      </w:pPr>
      <w:r>
        <w:rPr>
          <w:rFonts w:ascii="Times New Roman" w:hAnsi="Times New Roman" w:eastAsia="宋体"/>
          <w:b w:val="0"/>
          <w:sz w:val="24"/>
        </w:rPr>
        <w:t>表4.11展示了医院A（实验组）和医院B（对照组）在优化实施前后主要流程效率指标的变化。前测期为2025年12月至2026年2月，后测期为2026年3月至5月。</w:t>
      </w:r>
    </w:p>
    <w:p w14:paraId="75306A02">
      <w:pPr>
        <w:spacing w:before="120" w:after="120" w:line="240" w:lineRule="auto"/>
        <w:jc w:val="center"/>
      </w:pPr>
      <w:r>
        <w:rPr>
          <w:rFonts w:ascii="Times New Roman" w:hAnsi="Times New Roman" w:eastAsia="宋体"/>
          <w:b w:val="0"/>
          <w:sz w:val="21"/>
        </w:rPr>
        <w:t>表4.11　优化前后流程效率对比（实验组vs对照组）</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076"/>
        <w:gridCol w:w="1076"/>
        <w:gridCol w:w="1076"/>
        <w:gridCol w:w="1076"/>
        <w:gridCol w:w="1076"/>
        <w:gridCol w:w="1076"/>
        <w:gridCol w:w="1076"/>
        <w:gridCol w:w="1076"/>
      </w:tblGrid>
      <w:tr w14:paraId="4EF7299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Borders>
              <w:bottom w:val="single" w:color="000000" w:sz="12" w:space="0"/>
            </w:tcBorders>
          </w:tcPr>
          <w:p w14:paraId="048F1E66">
            <w:pPr>
              <w:jc w:val="center"/>
            </w:pPr>
            <w:r>
              <w:rPr>
                <w:rFonts w:ascii="Times New Roman" w:hAnsi="Times New Roman" w:eastAsia="宋体"/>
                <w:b/>
                <w:sz w:val="20"/>
              </w:rPr>
              <w:t>指标</w:t>
            </w:r>
          </w:p>
        </w:tc>
        <w:tc>
          <w:tcPr>
            <w:tcW w:w="1076" w:type="dxa"/>
            <w:tcBorders>
              <w:bottom w:val="single" w:color="000000" w:sz="12" w:space="0"/>
            </w:tcBorders>
          </w:tcPr>
          <w:p w14:paraId="5B25C704">
            <w:pPr>
              <w:jc w:val="center"/>
            </w:pPr>
            <w:r>
              <w:rPr>
                <w:rFonts w:ascii="Times New Roman" w:hAnsi="Times New Roman" w:eastAsia="宋体"/>
                <w:b/>
                <w:sz w:val="20"/>
              </w:rPr>
              <w:t>医院A前测</w:t>
            </w:r>
          </w:p>
        </w:tc>
        <w:tc>
          <w:tcPr>
            <w:tcW w:w="1076" w:type="dxa"/>
            <w:tcBorders>
              <w:bottom w:val="single" w:color="000000" w:sz="12" w:space="0"/>
            </w:tcBorders>
          </w:tcPr>
          <w:p w14:paraId="78515573">
            <w:pPr>
              <w:jc w:val="center"/>
            </w:pPr>
            <w:r>
              <w:rPr>
                <w:rFonts w:ascii="Times New Roman" w:hAnsi="Times New Roman" w:eastAsia="宋体"/>
                <w:b/>
                <w:sz w:val="20"/>
              </w:rPr>
              <w:t>医院A后测</w:t>
            </w:r>
          </w:p>
        </w:tc>
        <w:tc>
          <w:tcPr>
            <w:tcW w:w="1076" w:type="dxa"/>
            <w:tcBorders>
              <w:bottom w:val="single" w:color="000000" w:sz="12" w:space="0"/>
            </w:tcBorders>
          </w:tcPr>
          <w:p w14:paraId="5F1DCCE6">
            <w:pPr>
              <w:jc w:val="center"/>
            </w:pPr>
            <w:r>
              <w:rPr>
                <w:rFonts w:ascii="Times New Roman" w:hAnsi="Times New Roman" w:eastAsia="宋体"/>
                <w:b/>
                <w:sz w:val="20"/>
              </w:rPr>
              <w:t>变化</w:t>
            </w:r>
          </w:p>
        </w:tc>
        <w:tc>
          <w:tcPr>
            <w:tcW w:w="1076" w:type="dxa"/>
            <w:tcBorders>
              <w:bottom w:val="single" w:color="000000" w:sz="12" w:space="0"/>
            </w:tcBorders>
          </w:tcPr>
          <w:p w14:paraId="030B3624">
            <w:pPr>
              <w:jc w:val="center"/>
            </w:pPr>
            <w:r>
              <w:rPr>
                <w:rFonts w:ascii="Times New Roman" w:hAnsi="Times New Roman" w:eastAsia="宋体"/>
                <w:b/>
                <w:sz w:val="20"/>
              </w:rPr>
              <w:t>医院B前测</w:t>
            </w:r>
          </w:p>
        </w:tc>
        <w:tc>
          <w:tcPr>
            <w:tcW w:w="1076" w:type="dxa"/>
            <w:tcBorders>
              <w:bottom w:val="single" w:color="000000" w:sz="12" w:space="0"/>
            </w:tcBorders>
          </w:tcPr>
          <w:p w14:paraId="12C1B47E">
            <w:pPr>
              <w:jc w:val="center"/>
            </w:pPr>
            <w:r>
              <w:rPr>
                <w:rFonts w:ascii="Times New Roman" w:hAnsi="Times New Roman" w:eastAsia="宋体"/>
                <w:b/>
                <w:sz w:val="20"/>
              </w:rPr>
              <w:t>医院B后测</w:t>
            </w:r>
          </w:p>
        </w:tc>
        <w:tc>
          <w:tcPr>
            <w:tcW w:w="1076" w:type="dxa"/>
            <w:tcBorders>
              <w:bottom w:val="single" w:color="000000" w:sz="12" w:space="0"/>
            </w:tcBorders>
          </w:tcPr>
          <w:p w14:paraId="401A2911">
            <w:pPr>
              <w:jc w:val="center"/>
            </w:pPr>
            <w:r>
              <w:rPr>
                <w:rFonts w:ascii="Times New Roman" w:hAnsi="Times New Roman" w:eastAsia="宋体"/>
                <w:b/>
                <w:sz w:val="20"/>
              </w:rPr>
              <w:t>变化</w:t>
            </w:r>
          </w:p>
        </w:tc>
        <w:tc>
          <w:tcPr>
            <w:tcW w:w="1076" w:type="dxa"/>
            <w:tcBorders>
              <w:bottom w:val="single" w:color="000000" w:sz="12" w:space="0"/>
            </w:tcBorders>
          </w:tcPr>
          <w:p w14:paraId="4AA3A067">
            <w:pPr>
              <w:jc w:val="center"/>
            </w:pPr>
            <w:r>
              <w:rPr>
                <w:rFonts w:ascii="Times New Roman" w:hAnsi="Times New Roman" w:eastAsia="宋体"/>
                <w:b/>
                <w:sz w:val="20"/>
              </w:rPr>
              <w:t>DID净效果</w:t>
            </w:r>
          </w:p>
        </w:tc>
      </w:tr>
      <w:tr w14:paraId="5224E79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01C7DFF5">
            <w:r>
              <w:rPr>
                <w:rFonts w:ascii="Times New Roman" w:hAnsi="Times New Roman" w:eastAsia="宋体"/>
                <w:sz w:val="20"/>
              </w:rPr>
              <w:t>平均接诊等待时间(分钟)</w:t>
            </w:r>
          </w:p>
        </w:tc>
        <w:tc>
          <w:tcPr>
            <w:tcW w:w="1076" w:type="dxa"/>
          </w:tcPr>
          <w:p w14:paraId="66874E85">
            <w:r>
              <w:rPr>
                <w:rFonts w:ascii="Times New Roman" w:hAnsi="Times New Roman" w:eastAsia="宋体"/>
                <w:sz w:val="20"/>
              </w:rPr>
              <w:t>6.5</w:t>
            </w:r>
          </w:p>
        </w:tc>
        <w:tc>
          <w:tcPr>
            <w:tcW w:w="1076" w:type="dxa"/>
          </w:tcPr>
          <w:p w14:paraId="72554374">
            <w:r>
              <w:rPr>
                <w:rFonts w:ascii="Times New Roman" w:hAnsi="Times New Roman" w:eastAsia="宋体"/>
                <w:sz w:val="20"/>
              </w:rPr>
              <w:t>4.2</w:t>
            </w:r>
          </w:p>
        </w:tc>
        <w:tc>
          <w:tcPr>
            <w:tcW w:w="1076" w:type="dxa"/>
          </w:tcPr>
          <w:p w14:paraId="55F03919">
            <w:r>
              <w:rPr>
                <w:rFonts w:ascii="Times New Roman" w:hAnsi="Times New Roman" w:eastAsia="宋体"/>
                <w:sz w:val="20"/>
              </w:rPr>
              <w:t>-35.4%</w:t>
            </w:r>
          </w:p>
        </w:tc>
        <w:tc>
          <w:tcPr>
            <w:tcW w:w="1076" w:type="dxa"/>
          </w:tcPr>
          <w:p w14:paraId="74B43D56">
            <w:r>
              <w:rPr>
                <w:rFonts w:ascii="Times New Roman" w:hAnsi="Times New Roman" w:eastAsia="宋体"/>
                <w:sz w:val="20"/>
              </w:rPr>
              <w:t>6.8</w:t>
            </w:r>
          </w:p>
        </w:tc>
        <w:tc>
          <w:tcPr>
            <w:tcW w:w="1076" w:type="dxa"/>
          </w:tcPr>
          <w:p w14:paraId="63581193">
            <w:r>
              <w:rPr>
                <w:rFonts w:ascii="Times New Roman" w:hAnsi="Times New Roman" w:eastAsia="宋体"/>
                <w:sz w:val="20"/>
              </w:rPr>
              <w:t>6.6</w:t>
            </w:r>
          </w:p>
        </w:tc>
        <w:tc>
          <w:tcPr>
            <w:tcW w:w="1076" w:type="dxa"/>
          </w:tcPr>
          <w:p w14:paraId="698C2127">
            <w:r>
              <w:rPr>
                <w:rFonts w:ascii="Times New Roman" w:hAnsi="Times New Roman" w:eastAsia="宋体"/>
                <w:sz w:val="20"/>
              </w:rPr>
              <w:t>-2.9%</w:t>
            </w:r>
          </w:p>
        </w:tc>
        <w:tc>
          <w:tcPr>
            <w:tcW w:w="1076" w:type="dxa"/>
          </w:tcPr>
          <w:p w14:paraId="3F782CD4">
            <w:pPr>
              <w:rPr>
                <w:rFonts w:hint="eastAsia" w:eastAsia="宋体"/>
                <w:lang w:eastAsia="zh-CN"/>
              </w:rPr>
            </w:pPr>
            <w:r>
              <w:rPr>
                <w:rFonts w:ascii="Times New Roman" w:hAnsi="Times New Roman" w:eastAsia="宋体"/>
                <w:sz w:val="20"/>
              </w:rPr>
              <w:t>-32.5%</w:t>
            </w:r>
          </w:p>
        </w:tc>
      </w:tr>
      <w:tr w14:paraId="7B9D082F">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4D5340CB">
            <w:r>
              <w:rPr>
                <w:rFonts w:ascii="Times New Roman" w:hAnsi="Times New Roman" w:eastAsia="宋体"/>
                <w:sz w:val="20"/>
              </w:rPr>
              <w:t>处方审核平均耗时(分钟)</w:t>
            </w:r>
          </w:p>
        </w:tc>
        <w:tc>
          <w:tcPr>
            <w:tcW w:w="1076" w:type="dxa"/>
          </w:tcPr>
          <w:p w14:paraId="00C73A0D">
            <w:r>
              <w:rPr>
                <w:rFonts w:ascii="Times New Roman" w:hAnsi="Times New Roman" w:eastAsia="宋体"/>
                <w:sz w:val="20"/>
              </w:rPr>
              <w:t>8.0</w:t>
            </w:r>
          </w:p>
        </w:tc>
        <w:tc>
          <w:tcPr>
            <w:tcW w:w="1076" w:type="dxa"/>
          </w:tcPr>
          <w:p w14:paraId="1FC18758">
            <w:r>
              <w:rPr>
                <w:rFonts w:ascii="Times New Roman" w:hAnsi="Times New Roman" w:eastAsia="宋体"/>
                <w:sz w:val="20"/>
              </w:rPr>
              <w:t>5.8</w:t>
            </w:r>
          </w:p>
        </w:tc>
        <w:tc>
          <w:tcPr>
            <w:tcW w:w="1076" w:type="dxa"/>
          </w:tcPr>
          <w:p w14:paraId="767B25A8">
            <w:r>
              <w:rPr>
                <w:rFonts w:ascii="Times New Roman" w:hAnsi="Times New Roman" w:eastAsia="宋体"/>
                <w:sz w:val="20"/>
              </w:rPr>
              <w:t>-27.5%</w:t>
            </w:r>
          </w:p>
        </w:tc>
        <w:tc>
          <w:tcPr>
            <w:tcW w:w="1076" w:type="dxa"/>
          </w:tcPr>
          <w:p w14:paraId="6406B165">
            <w:r>
              <w:rPr>
                <w:rFonts w:ascii="Times New Roman" w:hAnsi="Times New Roman" w:eastAsia="宋体"/>
                <w:sz w:val="20"/>
              </w:rPr>
              <w:t>7.9</w:t>
            </w:r>
          </w:p>
        </w:tc>
        <w:tc>
          <w:tcPr>
            <w:tcW w:w="1076" w:type="dxa"/>
          </w:tcPr>
          <w:p w14:paraId="12381801">
            <w:r>
              <w:rPr>
                <w:rFonts w:ascii="Times New Roman" w:hAnsi="Times New Roman" w:eastAsia="宋体"/>
                <w:sz w:val="20"/>
              </w:rPr>
              <w:t>7.8</w:t>
            </w:r>
          </w:p>
        </w:tc>
        <w:tc>
          <w:tcPr>
            <w:tcW w:w="1076" w:type="dxa"/>
          </w:tcPr>
          <w:p w14:paraId="7E32A18C">
            <w:r>
              <w:rPr>
                <w:rFonts w:ascii="Times New Roman" w:hAnsi="Times New Roman" w:eastAsia="宋体"/>
                <w:sz w:val="20"/>
              </w:rPr>
              <w:t>-1.3%</w:t>
            </w:r>
          </w:p>
        </w:tc>
        <w:tc>
          <w:tcPr>
            <w:tcW w:w="1076" w:type="dxa"/>
          </w:tcPr>
          <w:p w14:paraId="2656FE5D">
            <w:pPr>
              <w:rPr>
                <w:rFonts w:hint="eastAsia" w:eastAsia="宋体"/>
                <w:lang w:eastAsia="zh-CN"/>
              </w:rPr>
            </w:pPr>
            <w:r>
              <w:rPr>
                <w:rFonts w:ascii="Times New Roman" w:hAnsi="Times New Roman" w:eastAsia="宋体"/>
                <w:sz w:val="20"/>
              </w:rPr>
              <w:t>-26.2%</w:t>
            </w:r>
          </w:p>
        </w:tc>
      </w:tr>
      <w:tr w14:paraId="28CC4E9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422A74F5">
            <w:r>
              <w:rPr>
                <w:rFonts w:ascii="Times New Roman" w:hAnsi="Times New Roman" w:eastAsia="宋体"/>
                <w:sz w:val="20"/>
              </w:rPr>
              <w:t>检查预约→完成周期(小时)</w:t>
            </w:r>
          </w:p>
        </w:tc>
        <w:tc>
          <w:tcPr>
            <w:tcW w:w="1076" w:type="dxa"/>
          </w:tcPr>
          <w:p w14:paraId="03872334">
            <w:r>
              <w:rPr>
                <w:rFonts w:ascii="Times New Roman" w:hAnsi="Times New Roman" w:eastAsia="宋体"/>
                <w:sz w:val="20"/>
              </w:rPr>
              <w:t>40.9</w:t>
            </w:r>
          </w:p>
        </w:tc>
        <w:tc>
          <w:tcPr>
            <w:tcW w:w="1076" w:type="dxa"/>
          </w:tcPr>
          <w:p w14:paraId="4CC4E3C6">
            <w:r>
              <w:rPr>
                <w:rFonts w:ascii="Times New Roman" w:hAnsi="Times New Roman" w:eastAsia="宋体"/>
                <w:sz w:val="20"/>
              </w:rPr>
              <w:t>28.3</w:t>
            </w:r>
          </w:p>
        </w:tc>
        <w:tc>
          <w:tcPr>
            <w:tcW w:w="1076" w:type="dxa"/>
          </w:tcPr>
          <w:p w14:paraId="385771E5">
            <w:r>
              <w:rPr>
                <w:rFonts w:ascii="Times New Roman" w:hAnsi="Times New Roman" w:eastAsia="宋体"/>
                <w:sz w:val="20"/>
              </w:rPr>
              <w:t>-30.8%</w:t>
            </w:r>
          </w:p>
        </w:tc>
        <w:tc>
          <w:tcPr>
            <w:tcW w:w="1076" w:type="dxa"/>
          </w:tcPr>
          <w:p w14:paraId="61BD710B">
            <w:r>
              <w:rPr>
                <w:rFonts w:ascii="Times New Roman" w:hAnsi="Times New Roman" w:eastAsia="宋体"/>
                <w:sz w:val="20"/>
              </w:rPr>
              <w:t>41.5</w:t>
            </w:r>
          </w:p>
        </w:tc>
        <w:tc>
          <w:tcPr>
            <w:tcW w:w="1076" w:type="dxa"/>
          </w:tcPr>
          <w:p w14:paraId="2EFE3A32">
            <w:r>
              <w:rPr>
                <w:rFonts w:ascii="Times New Roman" w:hAnsi="Times New Roman" w:eastAsia="宋体"/>
                <w:sz w:val="20"/>
              </w:rPr>
              <w:t>40.8</w:t>
            </w:r>
          </w:p>
        </w:tc>
        <w:tc>
          <w:tcPr>
            <w:tcW w:w="1076" w:type="dxa"/>
          </w:tcPr>
          <w:p w14:paraId="2C62C801">
            <w:r>
              <w:rPr>
                <w:rFonts w:ascii="Times New Roman" w:hAnsi="Times New Roman" w:eastAsia="宋体"/>
                <w:sz w:val="20"/>
              </w:rPr>
              <w:t>-1.7%</w:t>
            </w:r>
          </w:p>
        </w:tc>
        <w:tc>
          <w:tcPr>
            <w:tcW w:w="1076" w:type="dxa"/>
          </w:tcPr>
          <w:p w14:paraId="0AB4BF44">
            <w:pPr>
              <w:rPr>
                <w:rFonts w:hint="eastAsia" w:eastAsia="宋体"/>
                <w:lang w:eastAsia="zh-CN"/>
              </w:rPr>
            </w:pPr>
            <w:r>
              <w:rPr>
                <w:rFonts w:ascii="Times New Roman" w:hAnsi="Times New Roman" w:eastAsia="宋体"/>
                <w:sz w:val="20"/>
              </w:rPr>
              <w:t>-29.1%</w:t>
            </w:r>
          </w:p>
        </w:tc>
      </w:tr>
      <w:tr w14:paraId="7978608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4A3A089F">
            <w:r>
              <w:rPr>
                <w:rFonts w:ascii="Times New Roman" w:hAnsi="Times New Roman" w:eastAsia="宋体"/>
                <w:sz w:val="20"/>
              </w:rPr>
              <w:t>处方→取药完成(分钟)</w:t>
            </w:r>
          </w:p>
        </w:tc>
        <w:tc>
          <w:tcPr>
            <w:tcW w:w="1076" w:type="dxa"/>
          </w:tcPr>
          <w:p w14:paraId="36803CC8">
            <w:r>
              <w:rPr>
                <w:rFonts w:ascii="Times New Roman" w:hAnsi="Times New Roman" w:eastAsia="宋体"/>
                <w:sz w:val="20"/>
              </w:rPr>
              <w:t>20.4</w:t>
            </w:r>
          </w:p>
        </w:tc>
        <w:tc>
          <w:tcPr>
            <w:tcW w:w="1076" w:type="dxa"/>
          </w:tcPr>
          <w:p w14:paraId="4970EE8C">
            <w:r>
              <w:rPr>
                <w:rFonts w:ascii="Times New Roman" w:hAnsi="Times New Roman" w:eastAsia="宋体"/>
                <w:sz w:val="20"/>
              </w:rPr>
              <w:t>13.1</w:t>
            </w:r>
          </w:p>
        </w:tc>
        <w:tc>
          <w:tcPr>
            <w:tcW w:w="1076" w:type="dxa"/>
          </w:tcPr>
          <w:p w14:paraId="26E1DBA1">
            <w:r>
              <w:rPr>
                <w:rFonts w:ascii="Times New Roman" w:hAnsi="Times New Roman" w:eastAsia="宋体"/>
                <w:sz w:val="20"/>
              </w:rPr>
              <w:t>-35.8%</w:t>
            </w:r>
          </w:p>
        </w:tc>
        <w:tc>
          <w:tcPr>
            <w:tcW w:w="1076" w:type="dxa"/>
          </w:tcPr>
          <w:p w14:paraId="5D3976F8">
            <w:r>
              <w:rPr>
                <w:rFonts w:ascii="Times New Roman" w:hAnsi="Times New Roman" w:eastAsia="宋体"/>
                <w:sz w:val="20"/>
              </w:rPr>
              <w:t>21.0</w:t>
            </w:r>
          </w:p>
        </w:tc>
        <w:tc>
          <w:tcPr>
            <w:tcW w:w="1076" w:type="dxa"/>
          </w:tcPr>
          <w:p w14:paraId="4370E028">
            <w:r>
              <w:rPr>
                <w:rFonts w:ascii="Times New Roman" w:hAnsi="Times New Roman" w:eastAsia="宋体"/>
                <w:sz w:val="20"/>
              </w:rPr>
              <w:t>20.5</w:t>
            </w:r>
          </w:p>
        </w:tc>
        <w:tc>
          <w:tcPr>
            <w:tcW w:w="1076" w:type="dxa"/>
          </w:tcPr>
          <w:p w14:paraId="44B10B9B">
            <w:r>
              <w:rPr>
                <w:rFonts w:ascii="Times New Roman" w:hAnsi="Times New Roman" w:eastAsia="宋体"/>
                <w:sz w:val="20"/>
              </w:rPr>
              <w:t>-2.4%</w:t>
            </w:r>
          </w:p>
        </w:tc>
        <w:tc>
          <w:tcPr>
            <w:tcW w:w="1076" w:type="dxa"/>
          </w:tcPr>
          <w:p w14:paraId="1E456F39">
            <w:pPr>
              <w:rPr>
                <w:rFonts w:hint="eastAsia" w:eastAsia="宋体"/>
                <w:lang w:eastAsia="zh-CN"/>
              </w:rPr>
            </w:pPr>
            <w:r>
              <w:rPr>
                <w:rFonts w:ascii="Times New Roman" w:hAnsi="Times New Roman" w:eastAsia="宋体"/>
                <w:sz w:val="20"/>
              </w:rPr>
              <w:t>-33.4%</w:t>
            </w:r>
          </w:p>
        </w:tc>
      </w:tr>
      <w:tr w14:paraId="2A116C1A">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076" w:type="dxa"/>
          </w:tcPr>
          <w:p w14:paraId="75A1B133">
            <w:r>
              <w:rPr>
                <w:rFonts w:ascii="Times New Roman" w:hAnsi="Times New Roman" w:eastAsia="宋体"/>
                <w:sz w:val="20"/>
              </w:rPr>
              <w:t>返工率</w:t>
            </w:r>
          </w:p>
        </w:tc>
        <w:tc>
          <w:tcPr>
            <w:tcW w:w="1076" w:type="dxa"/>
          </w:tcPr>
          <w:p w14:paraId="17B1F318">
            <w:r>
              <w:rPr>
                <w:rFonts w:ascii="Times New Roman" w:hAnsi="Times New Roman" w:eastAsia="宋体"/>
                <w:sz w:val="20"/>
              </w:rPr>
              <w:t>6.2%</w:t>
            </w:r>
          </w:p>
        </w:tc>
        <w:tc>
          <w:tcPr>
            <w:tcW w:w="1076" w:type="dxa"/>
          </w:tcPr>
          <w:p w14:paraId="6935D8DB">
            <w:r>
              <w:rPr>
                <w:rFonts w:ascii="Times New Roman" w:hAnsi="Times New Roman" w:eastAsia="宋体"/>
                <w:sz w:val="20"/>
              </w:rPr>
              <w:t>3.8%</w:t>
            </w:r>
          </w:p>
        </w:tc>
        <w:tc>
          <w:tcPr>
            <w:tcW w:w="1076" w:type="dxa"/>
          </w:tcPr>
          <w:p w14:paraId="14624580">
            <w:r>
              <w:rPr>
                <w:rFonts w:ascii="Times New Roman" w:hAnsi="Times New Roman" w:eastAsia="宋体"/>
                <w:sz w:val="20"/>
              </w:rPr>
              <w:t>-2.4pp</w:t>
            </w:r>
          </w:p>
        </w:tc>
        <w:tc>
          <w:tcPr>
            <w:tcW w:w="1076" w:type="dxa"/>
          </w:tcPr>
          <w:p w14:paraId="51EB19AA">
            <w:r>
              <w:rPr>
                <w:rFonts w:ascii="Times New Roman" w:hAnsi="Times New Roman" w:eastAsia="宋体"/>
                <w:sz w:val="20"/>
              </w:rPr>
              <w:t>6.0%</w:t>
            </w:r>
          </w:p>
        </w:tc>
        <w:tc>
          <w:tcPr>
            <w:tcW w:w="1076" w:type="dxa"/>
          </w:tcPr>
          <w:p w14:paraId="6AC20B5C">
            <w:r>
              <w:rPr>
                <w:rFonts w:ascii="Times New Roman" w:hAnsi="Times New Roman" w:eastAsia="宋体"/>
                <w:sz w:val="20"/>
              </w:rPr>
              <w:t>5.9%</w:t>
            </w:r>
          </w:p>
        </w:tc>
        <w:tc>
          <w:tcPr>
            <w:tcW w:w="1076" w:type="dxa"/>
          </w:tcPr>
          <w:p w14:paraId="3B363FD5">
            <w:r>
              <w:rPr>
                <w:rFonts w:ascii="Times New Roman" w:hAnsi="Times New Roman" w:eastAsia="宋体"/>
                <w:sz w:val="20"/>
              </w:rPr>
              <w:t>-0.1pp</w:t>
            </w:r>
          </w:p>
        </w:tc>
        <w:tc>
          <w:tcPr>
            <w:tcW w:w="1076" w:type="dxa"/>
          </w:tcPr>
          <w:p w14:paraId="72BB162C">
            <w:pPr>
              <w:rPr>
                <w:rFonts w:hint="eastAsia" w:eastAsia="宋体"/>
                <w:lang w:eastAsia="zh-CN"/>
              </w:rPr>
            </w:pPr>
            <w:r>
              <w:rPr>
                <w:rFonts w:ascii="Times New Roman" w:hAnsi="Times New Roman" w:eastAsia="宋体"/>
                <w:sz w:val="20"/>
              </w:rPr>
              <w:t>-2.3pp</w:t>
            </w:r>
          </w:p>
        </w:tc>
      </w:tr>
    </w:tbl>
    <w:p w14:paraId="41CA7C65"/>
    <w:p w14:paraId="07532B60">
      <w:pPr>
        <w:spacing w:before="0" w:after="0" w:line="400" w:lineRule="exact"/>
        <w:ind w:firstLine="480"/>
        <w:jc w:val="both"/>
      </w:pPr>
      <w:r>
        <w:rPr>
          <w:rFonts w:ascii="Times New Roman" w:hAnsi="Times New Roman" w:eastAsia="宋体"/>
          <w:b w:val="0"/>
          <w:sz w:val="24"/>
        </w:rPr>
        <w:t>从DID净效果来看，优化方案的实施使实验组（医院A）的流程效率指标获得了显著改善。平均接诊等待时间减少32.5%，从优化前的6.5分钟降至4.2分钟，主要得益于智能导诊系统减少了患者选择院区和科室的犹豫时间，以及实时负荷分流机制降低了单院区的问诊排队压力。处方审核平均耗时减少26.2%，受益于AI智能审方引擎在处方开具时的实时合规提示减少了药师审核时的返工情况。检查预约到完成的平均周期缩短29.1%，是改善幅度最大的指标之一，反映了统一检查预约资源池和线上预约与线下签到数据打通的效果。处方到取药完成的平均耗时减少33.4%，受益于三类处方流转场景的差异化优化和药品库存实时查询功能。返工率下降2.3个百分点，说明流程引导的改善有效减少了顺序颠倒和重复操作等异常行为。</w:t>
      </w:r>
    </w:p>
    <w:p w14:paraId="1CDE69AA">
      <w:pPr>
        <w:spacing w:before="0" w:after="0" w:line="400" w:lineRule="exact"/>
        <w:ind w:firstLine="480"/>
        <w:jc w:val="both"/>
      </w:pPr>
      <w:r>
        <w:rPr>
          <w:rFonts w:ascii="Times New Roman" w:hAnsi="Times New Roman" w:eastAsia="宋体"/>
          <w:b w:val="0"/>
          <w:sz w:val="24"/>
        </w:rPr>
        <w:t>对照组（医院B）在各指标上的变化幅度较小（均在3%以内），表明在试点期间不存在影响所有院区的系统性外部变化（如季节效应或政策变更），DID估计量较为可靠地反映了优化方案的净效果。</w:t>
      </w:r>
    </w:p>
    <w:p w14:paraId="02FF88AC">
      <w:pPr>
        <w:spacing w:before="240" w:after="120" w:line="240" w:lineRule="auto"/>
        <w:ind w:firstLine="480"/>
        <w:outlineLvl w:val="3"/>
      </w:pPr>
      <w:r>
        <w:rPr>
          <w:rFonts w:ascii="Times New Roman" w:hAnsi="Times New Roman" w:eastAsia="黑体"/>
          <w:b/>
          <w:sz w:val="24"/>
        </w:rPr>
        <w:t>（二）资源利用率对比</w:t>
      </w:r>
    </w:p>
    <w:p w14:paraId="68D2C519">
      <w:pPr>
        <w:spacing w:before="0" w:after="0" w:line="400" w:lineRule="exact"/>
        <w:ind w:firstLine="480"/>
        <w:jc w:val="both"/>
      </w:pPr>
      <w:r>
        <w:rPr>
          <w:rFonts w:ascii="Times New Roman" w:hAnsi="Times New Roman" w:eastAsia="宋体"/>
          <w:b w:val="0"/>
          <w:sz w:val="24"/>
        </w:rPr>
        <w:t>表4.12展示了优化前后资源利用相关指标的变化。</w:t>
      </w:r>
    </w:p>
    <w:p w14:paraId="573CA669">
      <w:pPr>
        <w:spacing w:before="120" w:after="120" w:line="240" w:lineRule="auto"/>
        <w:jc w:val="center"/>
      </w:pPr>
      <w:r>
        <w:rPr>
          <w:rFonts w:ascii="Times New Roman" w:hAnsi="Times New Roman" w:eastAsia="宋体"/>
          <w:b w:val="0"/>
          <w:sz w:val="21"/>
        </w:rPr>
        <w:t>表4.12　优化前后资源利用率对比</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083FBDF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06B96876">
            <w:pPr>
              <w:jc w:val="center"/>
            </w:pPr>
            <w:r>
              <w:rPr>
                <w:rFonts w:ascii="Times New Roman" w:hAnsi="Times New Roman" w:eastAsia="宋体"/>
                <w:b/>
                <w:sz w:val="20"/>
              </w:rPr>
              <w:t>指标</w:t>
            </w:r>
          </w:p>
        </w:tc>
        <w:tc>
          <w:tcPr>
            <w:tcW w:w="2153" w:type="dxa"/>
            <w:tcBorders>
              <w:bottom w:val="single" w:color="000000" w:sz="12" w:space="0"/>
            </w:tcBorders>
          </w:tcPr>
          <w:p w14:paraId="1FE7ED4F">
            <w:pPr>
              <w:jc w:val="center"/>
            </w:pPr>
            <w:r>
              <w:rPr>
                <w:rFonts w:ascii="Times New Roman" w:hAnsi="Times New Roman" w:eastAsia="宋体"/>
                <w:b/>
                <w:sz w:val="20"/>
              </w:rPr>
              <w:t>医院A前测</w:t>
            </w:r>
          </w:p>
        </w:tc>
        <w:tc>
          <w:tcPr>
            <w:tcW w:w="2153" w:type="dxa"/>
            <w:tcBorders>
              <w:bottom w:val="single" w:color="000000" w:sz="12" w:space="0"/>
            </w:tcBorders>
          </w:tcPr>
          <w:p w14:paraId="353B8767">
            <w:pPr>
              <w:jc w:val="center"/>
            </w:pPr>
            <w:r>
              <w:rPr>
                <w:rFonts w:ascii="Times New Roman" w:hAnsi="Times New Roman" w:eastAsia="宋体"/>
                <w:b/>
                <w:sz w:val="20"/>
              </w:rPr>
              <w:t>医院A后测</w:t>
            </w:r>
          </w:p>
        </w:tc>
        <w:tc>
          <w:tcPr>
            <w:tcW w:w="2153" w:type="dxa"/>
            <w:tcBorders>
              <w:bottom w:val="single" w:color="000000" w:sz="12" w:space="0"/>
            </w:tcBorders>
          </w:tcPr>
          <w:p w14:paraId="575B80A8">
            <w:pPr>
              <w:jc w:val="center"/>
            </w:pPr>
            <w:r>
              <w:rPr>
                <w:rFonts w:ascii="Times New Roman" w:hAnsi="Times New Roman" w:eastAsia="宋体"/>
                <w:b/>
                <w:sz w:val="20"/>
              </w:rPr>
              <w:t>变化</w:t>
            </w:r>
          </w:p>
        </w:tc>
      </w:tr>
      <w:tr w14:paraId="3C2A354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3464551">
            <w:r>
              <w:rPr>
                <w:rFonts w:ascii="Times New Roman" w:hAnsi="Times New Roman" w:eastAsia="宋体"/>
                <w:sz w:val="20"/>
              </w:rPr>
              <w:t>跨院区检查预约占比</w:t>
            </w:r>
          </w:p>
        </w:tc>
        <w:tc>
          <w:tcPr>
            <w:tcW w:w="2153" w:type="dxa"/>
          </w:tcPr>
          <w:p w14:paraId="6F160180">
            <w:r>
              <w:rPr>
                <w:rFonts w:ascii="Times New Roman" w:hAnsi="Times New Roman" w:eastAsia="宋体"/>
                <w:sz w:val="20"/>
              </w:rPr>
              <w:t>0%</w:t>
            </w:r>
          </w:p>
        </w:tc>
        <w:tc>
          <w:tcPr>
            <w:tcW w:w="2153" w:type="dxa"/>
          </w:tcPr>
          <w:p w14:paraId="3836D027">
            <w:r>
              <w:rPr>
                <w:rFonts w:ascii="Times New Roman" w:hAnsi="Times New Roman" w:eastAsia="宋体"/>
                <w:sz w:val="20"/>
              </w:rPr>
              <w:t>8.3%</w:t>
            </w:r>
          </w:p>
        </w:tc>
        <w:tc>
          <w:tcPr>
            <w:tcW w:w="2153" w:type="dxa"/>
          </w:tcPr>
          <w:p w14:paraId="6B8C6821">
            <w:r>
              <w:rPr>
                <w:rFonts w:ascii="Times New Roman" w:hAnsi="Times New Roman" w:eastAsia="宋体"/>
                <w:sz w:val="20"/>
              </w:rPr>
              <w:t>+8.3pp</w:t>
            </w:r>
          </w:p>
        </w:tc>
      </w:tr>
      <w:tr w14:paraId="19695B9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4EB6F58">
            <w:r>
              <w:rPr>
                <w:rFonts w:ascii="Times New Roman" w:hAnsi="Times New Roman" w:eastAsia="宋体"/>
                <w:sz w:val="20"/>
              </w:rPr>
              <w:t>检查设备日均利用率</w:t>
            </w:r>
          </w:p>
        </w:tc>
        <w:tc>
          <w:tcPr>
            <w:tcW w:w="2153" w:type="dxa"/>
          </w:tcPr>
          <w:p w14:paraId="453B30E4">
            <w:r>
              <w:rPr>
                <w:rFonts w:ascii="Times New Roman" w:hAnsi="Times New Roman" w:eastAsia="宋体"/>
                <w:sz w:val="20"/>
              </w:rPr>
              <w:t>62%</w:t>
            </w:r>
          </w:p>
        </w:tc>
        <w:tc>
          <w:tcPr>
            <w:tcW w:w="2153" w:type="dxa"/>
          </w:tcPr>
          <w:p w14:paraId="195F5FC9">
            <w:r>
              <w:rPr>
                <w:rFonts w:ascii="Times New Roman" w:hAnsi="Times New Roman" w:eastAsia="宋体"/>
                <w:sz w:val="20"/>
              </w:rPr>
              <w:t>71%</w:t>
            </w:r>
          </w:p>
        </w:tc>
        <w:tc>
          <w:tcPr>
            <w:tcW w:w="2153" w:type="dxa"/>
          </w:tcPr>
          <w:p w14:paraId="21F0203F">
            <w:r>
              <w:rPr>
                <w:rFonts w:ascii="Times New Roman" w:hAnsi="Times New Roman" w:eastAsia="宋体"/>
                <w:sz w:val="20"/>
              </w:rPr>
              <w:t>+9pp</w:t>
            </w:r>
          </w:p>
        </w:tc>
      </w:tr>
      <w:tr w14:paraId="3EC0ABE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BB6DEE1">
            <w:r>
              <w:rPr>
                <w:rFonts w:ascii="Times New Roman" w:hAnsi="Times New Roman" w:eastAsia="宋体"/>
                <w:sz w:val="20"/>
              </w:rPr>
              <w:t>药品配送到家选择率</w:t>
            </w:r>
          </w:p>
        </w:tc>
        <w:tc>
          <w:tcPr>
            <w:tcW w:w="2153" w:type="dxa"/>
          </w:tcPr>
          <w:p w14:paraId="4C33836E">
            <w:r>
              <w:rPr>
                <w:rFonts w:ascii="Times New Roman" w:hAnsi="Times New Roman" w:eastAsia="宋体"/>
                <w:sz w:val="20"/>
              </w:rPr>
              <w:t>23%</w:t>
            </w:r>
          </w:p>
        </w:tc>
        <w:tc>
          <w:tcPr>
            <w:tcW w:w="2153" w:type="dxa"/>
          </w:tcPr>
          <w:p w14:paraId="1EB4502A">
            <w:r>
              <w:rPr>
                <w:rFonts w:ascii="Times New Roman" w:hAnsi="Times New Roman" w:eastAsia="宋体"/>
                <w:sz w:val="20"/>
              </w:rPr>
              <w:t>31%</w:t>
            </w:r>
          </w:p>
        </w:tc>
        <w:tc>
          <w:tcPr>
            <w:tcW w:w="2153" w:type="dxa"/>
          </w:tcPr>
          <w:p w14:paraId="3CA7C6B8">
            <w:r>
              <w:rPr>
                <w:rFonts w:ascii="Times New Roman" w:hAnsi="Times New Roman" w:eastAsia="宋体"/>
                <w:sz w:val="20"/>
              </w:rPr>
              <w:t>+8pp</w:t>
            </w:r>
          </w:p>
        </w:tc>
      </w:tr>
      <w:tr w14:paraId="78FBA6B8">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C7DB051">
            <w:r>
              <w:rPr>
                <w:rFonts w:ascii="Times New Roman" w:hAnsi="Times New Roman" w:eastAsia="宋体"/>
                <w:sz w:val="20"/>
              </w:rPr>
              <w:t>慢病快捷通道使用率</w:t>
            </w:r>
          </w:p>
        </w:tc>
        <w:tc>
          <w:tcPr>
            <w:tcW w:w="2153" w:type="dxa"/>
          </w:tcPr>
          <w:p w14:paraId="510CA620">
            <w:r>
              <w:rPr>
                <w:rFonts w:ascii="Times New Roman" w:hAnsi="Times New Roman" w:eastAsia="宋体"/>
                <w:sz w:val="20"/>
              </w:rPr>
              <w:t>—</w:t>
            </w:r>
          </w:p>
        </w:tc>
        <w:tc>
          <w:tcPr>
            <w:tcW w:w="2153" w:type="dxa"/>
          </w:tcPr>
          <w:p w14:paraId="40260E20">
            <w:r>
              <w:rPr>
                <w:rFonts w:ascii="Times New Roman" w:hAnsi="Times New Roman" w:eastAsia="宋体"/>
                <w:sz w:val="20"/>
              </w:rPr>
              <w:t>18%</w:t>
            </w:r>
          </w:p>
        </w:tc>
        <w:tc>
          <w:tcPr>
            <w:tcW w:w="2153" w:type="dxa"/>
          </w:tcPr>
          <w:p w14:paraId="60C1465B">
            <w:r>
              <w:rPr>
                <w:rFonts w:ascii="Times New Roman" w:hAnsi="Times New Roman" w:eastAsia="宋体"/>
                <w:sz w:val="20"/>
              </w:rPr>
              <w:t>新增</w:t>
            </w:r>
          </w:p>
        </w:tc>
      </w:tr>
    </w:tbl>
    <w:p w14:paraId="4AEFA3FD"/>
    <w:p w14:paraId="7E3E4353">
      <w:pPr>
        <w:spacing w:before="0" w:after="0" w:line="400" w:lineRule="exact"/>
        <w:ind w:firstLine="480"/>
        <w:jc w:val="both"/>
      </w:pPr>
      <w:r>
        <w:rPr>
          <w:rFonts w:ascii="Times New Roman" w:hAnsi="Times New Roman" w:eastAsia="宋体"/>
          <w:b w:val="0"/>
          <w:sz w:val="24"/>
        </w:rPr>
        <w:t>跨院区检查预约占比从0%提升至8.3%，表明统一检查预约资源池的功能已经产生实际效果——当医院A的某类检查排期较长时，部分患者选择预约了医院B或医院C的同类型检查。这一机制有效利用了集团内其他院区的闲置检查资源，医院A检查设备的日均利用率反而从62%提升至71%（因为跨院区患者流入抵消了流出）。药品配送到家选择率从23%提升至31%，说明线上医保支付的全面覆盖解除了部分患者对到院自取的依赖。慢病快捷复诊通道在上线首月即被18%的慢病复诊患者使用，表明简化操作流程对提升患者使用意愿有直接促进作用。</w:t>
      </w:r>
    </w:p>
    <w:p w14:paraId="54EFDF1D">
      <w:pPr>
        <w:spacing w:before="240" w:after="120" w:line="240" w:lineRule="auto"/>
        <w:ind w:firstLine="480"/>
        <w:outlineLvl w:val="3"/>
      </w:pPr>
      <w:r>
        <w:rPr>
          <w:rFonts w:ascii="Times New Roman" w:hAnsi="Times New Roman" w:eastAsia="黑体"/>
          <w:b/>
          <w:sz w:val="24"/>
        </w:rPr>
        <w:t>（三）患者体验对比</w:t>
      </w:r>
    </w:p>
    <w:p w14:paraId="1B2530E4">
      <w:pPr>
        <w:spacing w:before="0" w:after="0" w:line="400" w:lineRule="exact"/>
        <w:ind w:firstLine="480"/>
        <w:jc w:val="both"/>
      </w:pPr>
      <w:r>
        <w:rPr>
          <w:rFonts w:ascii="Times New Roman" w:hAnsi="Times New Roman" w:eastAsia="宋体"/>
          <w:b w:val="0"/>
          <w:sz w:val="24"/>
        </w:rPr>
        <w:t>因疫情期间建立的平台内置满意度评分系统，患者在服务结束后会被邀请进行1-5分的满意度评分。优化前后的满意度数据对比如表4.13所示。</w:t>
      </w:r>
    </w:p>
    <w:p w14:paraId="71DA3EE1">
      <w:pPr>
        <w:spacing w:before="120" w:after="120" w:line="240" w:lineRule="auto"/>
        <w:jc w:val="center"/>
      </w:pPr>
      <w:r>
        <w:rPr>
          <w:rFonts w:ascii="Times New Roman" w:hAnsi="Times New Roman" w:eastAsia="宋体"/>
          <w:b w:val="0"/>
          <w:sz w:val="21"/>
        </w:rPr>
        <w:t>表4.13　优化前后患者满意度对比</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2153"/>
        <w:gridCol w:w="2153"/>
        <w:gridCol w:w="2153"/>
        <w:gridCol w:w="2153"/>
      </w:tblGrid>
      <w:tr w14:paraId="541A5800">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Borders>
              <w:bottom w:val="single" w:color="000000" w:sz="12" w:space="0"/>
            </w:tcBorders>
          </w:tcPr>
          <w:p w14:paraId="4C139EAB">
            <w:pPr>
              <w:jc w:val="center"/>
            </w:pPr>
            <w:r>
              <w:rPr>
                <w:rFonts w:ascii="Times New Roman" w:hAnsi="Times New Roman" w:eastAsia="宋体"/>
                <w:b/>
                <w:sz w:val="20"/>
              </w:rPr>
              <w:t>指标</w:t>
            </w:r>
          </w:p>
        </w:tc>
        <w:tc>
          <w:tcPr>
            <w:tcW w:w="2153" w:type="dxa"/>
            <w:tcBorders>
              <w:bottom w:val="single" w:color="000000" w:sz="12" w:space="0"/>
            </w:tcBorders>
          </w:tcPr>
          <w:p w14:paraId="03D5940B">
            <w:pPr>
              <w:jc w:val="center"/>
            </w:pPr>
            <w:r>
              <w:rPr>
                <w:rFonts w:ascii="Times New Roman" w:hAnsi="Times New Roman" w:eastAsia="宋体"/>
                <w:b/>
                <w:sz w:val="20"/>
              </w:rPr>
              <w:t>医院A前测</w:t>
            </w:r>
          </w:p>
        </w:tc>
        <w:tc>
          <w:tcPr>
            <w:tcW w:w="2153" w:type="dxa"/>
            <w:tcBorders>
              <w:bottom w:val="single" w:color="000000" w:sz="12" w:space="0"/>
            </w:tcBorders>
          </w:tcPr>
          <w:p w14:paraId="3D2663B5">
            <w:pPr>
              <w:jc w:val="center"/>
            </w:pPr>
            <w:r>
              <w:rPr>
                <w:rFonts w:ascii="Times New Roman" w:hAnsi="Times New Roman" w:eastAsia="宋体"/>
                <w:b/>
                <w:sz w:val="20"/>
              </w:rPr>
              <w:t>医院A后测</w:t>
            </w:r>
          </w:p>
        </w:tc>
        <w:tc>
          <w:tcPr>
            <w:tcW w:w="2153" w:type="dxa"/>
            <w:tcBorders>
              <w:bottom w:val="single" w:color="000000" w:sz="12" w:space="0"/>
            </w:tcBorders>
          </w:tcPr>
          <w:p w14:paraId="0F8DEDFA">
            <w:pPr>
              <w:jc w:val="center"/>
            </w:pPr>
            <w:r>
              <w:rPr>
                <w:rFonts w:ascii="Times New Roman" w:hAnsi="Times New Roman" w:eastAsia="宋体"/>
                <w:b/>
                <w:sz w:val="20"/>
              </w:rPr>
              <w:t>变化</w:t>
            </w:r>
          </w:p>
        </w:tc>
      </w:tr>
      <w:tr w14:paraId="704FFCA5">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637320A5">
            <w:r>
              <w:rPr>
                <w:rFonts w:ascii="Times New Roman" w:hAnsi="Times New Roman" w:eastAsia="宋体"/>
                <w:sz w:val="20"/>
              </w:rPr>
              <w:t>整体满意度（1-5分）</w:t>
            </w:r>
          </w:p>
        </w:tc>
        <w:tc>
          <w:tcPr>
            <w:tcW w:w="2153" w:type="dxa"/>
          </w:tcPr>
          <w:p w14:paraId="2B38AEDB">
            <w:r>
              <w:rPr>
                <w:rFonts w:ascii="Times New Roman" w:hAnsi="Times New Roman" w:eastAsia="宋体"/>
                <w:sz w:val="20"/>
              </w:rPr>
              <w:t>3.8</w:t>
            </w:r>
          </w:p>
        </w:tc>
        <w:tc>
          <w:tcPr>
            <w:tcW w:w="2153" w:type="dxa"/>
          </w:tcPr>
          <w:p w14:paraId="1F7FC24F">
            <w:r>
              <w:rPr>
                <w:rFonts w:ascii="Times New Roman" w:hAnsi="Times New Roman" w:eastAsia="宋体"/>
                <w:sz w:val="20"/>
              </w:rPr>
              <w:t>4.3</w:t>
            </w:r>
          </w:p>
        </w:tc>
        <w:tc>
          <w:tcPr>
            <w:tcW w:w="2153" w:type="dxa"/>
          </w:tcPr>
          <w:p w14:paraId="57949677">
            <w:r>
              <w:rPr>
                <w:rFonts w:ascii="Times New Roman" w:hAnsi="Times New Roman" w:eastAsia="宋体"/>
                <w:sz w:val="20"/>
              </w:rPr>
              <w:t>+13.2%</w:t>
            </w:r>
          </w:p>
        </w:tc>
      </w:tr>
      <w:tr w14:paraId="300A373C">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94EB21F">
            <w:r>
              <w:rPr>
                <w:rFonts w:ascii="Times New Roman" w:hAnsi="Times New Roman" w:eastAsia="宋体"/>
                <w:sz w:val="20"/>
              </w:rPr>
              <w:t>等待时间满意度</w:t>
            </w:r>
          </w:p>
        </w:tc>
        <w:tc>
          <w:tcPr>
            <w:tcW w:w="2153" w:type="dxa"/>
          </w:tcPr>
          <w:p w14:paraId="5C29EF8B">
            <w:r>
              <w:rPr>
                <w:rFonts w:ascii="Times New Roman" w:hAnsi="Times New Roman" w:eastAsia="宋体"/>
                <w:sz w:val="20"/>
              </w:rPr>
              <w:t>3.2</w:t>
            </w:r>
          </w:p>
        </w:tc>
        <w:tc>
          <w:tcPr>
            <w:tcW w:w="2153" w:type="dxa"/>
          </w:tcPr>
          <w:p w14:paraId="6FDEBA48">
            <w:r>
              <w:rPr>
                <w:rFonts w:ascii="Times New Roman" w:hAnsi="Times New Roman" w:eastAsia="宋体"/>
                <w:sz w:val="20"/>
              </w:rPr>
              <w:t>4.1</w:t>
            </w:r>
          </w:p>
        </w:tc>
        <w:tc>
          <w:tcPr>
            <w:tcW w:w="2153" w:type="dxa"/>
          </w:tcPr>
          <w:p w14:paraId="5F48243C">
            <w:r>
              <w:rPr>
                <w:rFonts w:ascii="Times New Roman" w:hAnsi="Times New Roman" w:eastAsia="宋体"/>
                <w:sz w:val="20"/>
              </w:rPr>
              <w:t>+28.1%</w:t>
            </w:r>
          </w:p>
        </w:tc>
      </w:tr>
      <w:tr w14:paraId="1DD86592">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2782E094">
            <w:r>
              <w:rPr>
                <w:rFonts w:ascii="Times New Roman" w:hAnsi="Times New Roman" w:eastAsia="宋体"/>
                <w:sz w:val="20"/>
              </w:rPr>
              <w:t>操作便捷度满意度</w:t>
            </w:r>
          </w:p>
        </w:tc>
        <w:tc>
          <w:tcPr>
            <w:tcW w:w="2153" w:type="dxa"/>
          </w:tcPr>
          <w:p w14:paraId="1F26B171">
            <w:r>
              <w:rPr>
                <w:rFonts w:ascii="Times New Roman" w:hAnsi="Times New Roman" w:eastAsia="宋体"/>
                <w:sz w:val="20"/>
              </w:rPr>
              <w:t>3.6</w:t>
            </w:r>
          </w:p>
        </w:tc>
        <w:tc>
          <w:tcPr>
            <w:tcW w:w="2153" w:type="dxa"/>
          </w:tcPr>
          <w:p w14:paraId="2A086A0C">
            <w:r>
              <w:rPr>
                <w:rFonts w:ascii="Times New Roman" w:hAnsi="Times New Roman" w:eastAsia="宋体"/>
                <w:sz w:val="20"/>
              </w:rPr>
              <w:t>4.2</w:t>
            </w:r>
          </w:p>
        </w:tc>
        <w:tc>
          <w:tcPr>
            <w:tcW w:w="2153" w:type="dxa"/>
          </w:tcPr>
          <w:p w14:paraId="2866AF9D">
            <w:r>
              <w:rPr>
                <w:rFonts w:ascii="Times New Roman" w:hAnsi="Times New Roman" w:eastAsia="宋体"/>
                <w:sz w:val="20"/>
              </w:rPr>
              <w:t>+16.7%</w:t>
            </w:r>
          </w:p>
        </w:tc>
      </w:tr>
      <w:tr w14:paraId="2C9B534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2153" w:type="dxa"/>
          </w:tcPr>
          <w:p w14:paraId="3AD53090">
            <w:r>
              <w:rPr>
                <w:rFonts w:ascii="Times New Roman" w:hAnsi="Times New Roman" w:eastAsia="宋体"/>
                <w:sz w:val="20"/>
              </w:rPr>
              <w:t>主动投诉率</w:t>
            </w:r>
          </w:p>
        </w:tc>
        <w:tc>
          <w:tcPr>
            <w:tcW w:w="2153" w:type="dxa"/>
          </w:tcPr>
          <w:p w14:paraId="4DAD6C8D">
            <w:r>
              <w:rPr>
                <w:rFonts w:ascii="Times New Roman" w:hAnsi="Times New Roman" w:eastAsia="宋体"/>
                <w:sz w:val="20"/>
              </w:rPr>
              <w:t>2.8%</w:t>
            </w:r>
          </w:p>
        </w:tc>
        <w:tc>
          <w:tcPr>
            <w:tcW w:w="2153" w:type="dxa"/>
          </w:tcPr>
          <w:p w14:paraId="30D59628">
            <w:r>
              <w:rPr>
                <w:rFonts w:ascii="Times New Roman" w:hAnsi="Times New Roman" w:eastAsia="宋体"/>
                <w:sz w:val="20"/>
              </w:rPr>
              <w:t>1.5%</w:t>
            </w:r>
          </w:p>
        </w:tc>
        <w:tc>
          <w:tcPr>
            <w:tcW w:w="2153" w:type="dxa"/>
          </w:tcPr>
          <w:p w14:paraId="097B5AA5">
            <w:r>
              <w:rPr>
                <w:rFonts w:ascii="Times New Roman" w:hAnsi="Times New Roman" w:eastAsia="宋体"/>
                <w:sz w:val="20"/>
              </w:rPr>
              <w:t>-1.3pp</w:t>
            </w:r>
          </w:p>
        </w:tc>
      </w:tr>
    </w:tbl>
    <w:p w14:paraId="2CBB8D0F"/>
    <w:p w14:paraId="52A1D607">
      <w:pPr>
        <w:spacing w:before="0" w:after="0" w:line="400" w:lineRule="exact"/>
        <w:ind w:firstLine="480"/>
        <w:jc w:val="both"/>
      </w:pPr>
      <w:r>
        <w:rPr>
          <w:rFonts w:ascii="Times New Roman" w:hAnsi="Times New Roman" w:eastAsia="宋体"/>
          <w:b w:val="0"/>
          <w:sz w:val="24"/>
        </w:rPr>
        <w:t>患者整体满意度从3.8分提升至4.3分（提升13.2%），其中等待时间满意度的提升最为显著（从3.2分到4.1分，提升28.1%），这与流程效率指标的改善方向一致。操作便捷度满意度的提升（16.7%）反映了智能导诊和快捷复诊通道的积极影响。主动投诉率从2.8%下降至1.5%，降幅接近一半，说明优化方案在减少患者明显不满方面效果显著。</w:t>
      </w:r>
    </w:p>
    <w:p w14:paraId="15F553F9">
      <w:pPr>
        <w:spacing w:before="240" w:after="120" w:line="240" w:lineRule="auto"/>
        <w:ind w:firstLine="520"/>
        <w:outlineLvl w:val="2"/>
      </w:pPr>
      <w:bookmarkStart w:id="72" w:name="_Toc25468"/>
      <w:r>
        <w:rPr>
          <w:rFonts w:ascii="Times New Roman" w:hAnsi="Times New Roman" w:eastAsia="黑体"/>
          <w:b/>
          <w:sz w:val="26"/>
        </w:rPr>
        <w:t>三、基于AHP的综合效果评价</w:t>
      </w:r>
      <w:bookmarkEnd w:id="72"/>
    </w:p>
    <w:p w14:paraId="02CAC1DD">
      <w:pPr>
        <w:spacing w:before="0" w:after="0" w:line="400" w:lineRule="exact"/>
        <w:ind w:firstLine="480"/>
        <w:jc w:val="both"/>
      </w:pPr>
      <w:r>
        <w:rPr>
          <w:rFonts w:ascii="Times New Roman" w:hAnsi="Times New Roman" w:eastAsia="宋体"/>
          <w:b w:val="0"/>
          <w:sz w:val="24"/>
        </w:rPr>
        <w:t>为进一步综合评估优化方案的效果，本节运用AHP方法从多个维度对优化前后的表现进行综合评分。</w:t>
      </w:r>
    </w:p>
    <w:p w14:paraId="7AB2B33F">
      <w:pPr>
        <w:spacing w:before="0" w:after="0" w:line="400" w:lineRule="exact"/>
        <w:ind w:firstLine="480"/>
        <w:jc w:val="both"/>
      </w:pPr>
      <w:r>
        <w:rPr>
          <w:rFonts w:ascii="Times New Roman" w:hAnsi="Times New Roman" w:eastAsia="宋体"/>
          <w:b w:val="0"/>
          <w:sz w:val="24"/>
        </w:rPr>
        <w:t>评价维度的选取与第四章第一节中的准则层保持一致：影响程度（权重0.367）、改造成本（权重0.109）、实施难度（权重0.068）、预期效果（权重0.228）和患者影响（权重0.228）。但由于此处评估的是优化效果的"达成度"而非瓶颈的"改进优先级"，因此对各准则的含义进行了重新定义：影响程度指优化方案对流程瓶颈的实际消除程度，改造成本指优化实施的实际资源投入与预算的匹配度，实施难度指实际实施过程的顺畅度，预期效果指优化后KPI改善是否达到预期目标，患者影响指患者满意度的实际改善幅度。</w:t>
      </w:r>
    </w:p>
    <w:p w14:paraId="3925FB79">
      <w:pPr>
        <w:spacing w:before="120" w:after="120" w:line="240" w:lineRule="auto"/>
        <w:jc w:val="center"/>
      </w:pPr>
      <w:r>
        <w:rPr>
          <w:rFonts w:ascii="Times New Roman" w:hAnsi="Times New Roman" w:eastAsia="宋体"/>
          <w:b w:val="0"/>
          <w:sz w:val="21"/>
        </w:rPr>
        <w:t>表4.14　优化效果AHP综合评分</w:t>
      </w:r>
    </w:p>
    <w:tbl>
      <w:tblPr>
        <w:tblStyle w:val="36"/>
        <w:tblW w:w="0" w:type="auto"/>
        <w:jc w:val="center"/>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1722"/>
        <w:gridCol w:w="1722"/>
        <w:gridCol w:w="1722"/>
        <w:gridCol w:w="1722"/>
        <w:gridCol w:w="1722"/>
      </w:tblGrid>
      <w:tr w14:paraId="08F6A69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Borders>
              <w:bottom w:val="single" w:color="000000" w:sz="12" w:space="0"/>
            </w:tcBorders>
          </w:tcPr>
          <w:p w14:paraId="6A890B1E">
            <w:pPr>
              <w:jc w:val="center"/>
            </w:pPr>
            <w:r>
              <w:rPr>
                <w:rFonts w:ascii="Times New Roman" w:hAnsi="Times New Roman" w:eastAsia="宋体"/>
                <w:b/>
                <w:sz w:val="20"/>
              </w:rPr>
              <w:t>评价维度</w:t>
            </w:r>
          </w:p>
        </w:tc>
        <w:tc>
          <w:tcPr>
            <w:tcW w:w="1722" w:type="dxa"/>
            <w:tcBorders>
              <w:bottom w:val="single" w:color="000000" w:sz="12" w:space="0"/>
            </w:tcBorders>
          </w:tcPr>
          <w:p w14:paraId="4F81AD63">
            <w:pPr>
              <w:jc w:val="center"/>
            </w:pPr>
            <w:r>
              <w:rPr>
                <w:rFonts w:ascii="Times New Roman" w:hAnsi="Times New Roman" w:eastAsia="宋体"/>
                <w:b/>
                <w:sz w:val="20"/>
              </w:rPr>
              <w:t>权重</w:t>
            </w:r>
          </w:p>
        </w:tc>
        <w:tc>
          <w:tcPr>
            <w:tcW w:w="1722" w:type="dxa"/>
            <w:tcBorders>
              <w:bottom w:val="single" w:color="000000" w:sz="12" w:space="0"/>
            </w:tcBorders>
          </w:tcPr>
          <w:p w14:paraId="459159B2">
            <w:pPr>
              <w:jc w:val="center"/>
            </w:pPr>
            <w:r>
              <w:rPr>
                <w:rFonts w:ascii="Times New Roman" w:hAnsi="Times New Roman" w:eastAsia="宋体"/>
                <w:b/>
                <w:sz w:val="20"/>
              </w:rPr>
              <w:t>优化前得分</w:t>
            </w:r>
          </w:p>
        </w:tc>
        <w:tc>
          <w:tcPr>
            <w:tcW w:w="1722" w:type="dxa"/>
            <w:tcBorders>
              <w:bottom w:val="single" w:color="000000" w:sz="12" w:space="0"/>
            </w:tcBorders>
          </w:tcPr>
          <w:p w14:paraId="04D34AD8">
            <w:pPr>
              <w:jc w:val="center"/>
            </w:pPr>
            <w:r>
              <w:rPr>
                <w:rFonts w:ascii="Times New Roman" w:hAnsi="Times New Roman" w:eastAsia="宋体"/>
                <w:b/>
                <w:sz w:val="20"/>
              </w:rPr>
              <w:t>优化后得分</w:t>
            </w:r>
          </w:p>
        </w:tc>
        <w:tc>
          <w:tcPr>
            <w:tcW w:w="1722" w:type="dxa"/>
            <w:tcBorders>
              <w:bottom w:val="single" w:color="000000" w:sz="12" w:space="0"/>
            </w:tcBorders>
          </w:tcPr>
          <w:p w14:paraId="24487A7B">
            <w:pPr>
              <w:jc w:val="center"/>
            </w:pPr>
            <w:r>
              <w:rPr>
                <w:rFonts w:ascii="Times New Roman" w:hAnsi="Times New Roman" w:eastAsia="宋体"/>
                <w:b/>
                <w:sz w:val="20"/>
              </w:rPr>
              <w:t>加权贡献（优化后）</w:t>
            </w:r>
          </w:p>
        </w:tc>
      </w:tr>
      <w:tr w14:paraId="0607D2FB">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232CA45C">
            <w:r>
              <w:rPr>
                <w:rFonts w:ascii="Times New Roman" w:hAnsi="Times New Roman" w:eastAsia="宋体"/>
                <w:sz w:val="20"/>
              </w:rPr>
              <w:t>影响程度（瓶颈消除度）</w:t>
            </w:r>
          </w:p>
        </w:tc>
        <w:tc>
          <w:tcPr>
            <w:tcW w:w="1722" w:type="dxa"/>
          </w:tcPr>
          <w:p w14:paraId="5735098D">
            <w:r>
              <w:rPr>
                <w:rFonts w:ascii="Times New Roman" w:hAnsi="Times New Roman" w:eastAsia="宋体"/>
                <w:sz w:val="20"/>
              </w:rPr>
              <w:t>0.367</w:t>
            </w:r>
          </w:p>
        </w:tc>
        <w:tc>
          <w:tcPr>
            <w:tcW w:w="1722" w:type="dxa"/>
          </w:tcPr>
          <w:p w14:paraId="72A33AE2">
            <w:r>
              <w:rPr>
                <w:rFonts w:ascii="Times New Roman" w:hAnsi="Times New Roman" w:eastAsia="宋体"/>
                <w:sz w:val="20"/>
              </w:rPr>
              <w:t>2.5</w:t>
            </w:r>
          </w:p>
        </w:tc>
        <w:tc>
          <w:tcPr>
            <w:tcW w:w="1722" w:type="dxa"/>
          </w:tcPr>
          <w:p w14:paraId="4CBB6BD7">
            <w:r>
              <w:rPr>
                <w:rFonts w:ascii="Times New Roman" w:hAnsi="Times New Roman" w:eastAsia="宋体"/>
                <w:sz w:val="20"/>
              </w:rPr>
              <w:t>4.2</w:t>
            </w:r>
          </w:p>
        </w:tc>
        <w:tc>
          <w:tcPr>
            <w:tcW w:w="1722" w:type="dxa"/>
          </w:tcPr>
          <w:p w14:paraId="2ABA54A8">
            <w:r>
              <w:rPr>
                <w:rFonts w:ascii="Times New Roman" w:hAnsi="Times New Roman" w:eastAsia="宋体"/>
                <w:sz w:val="20"/>
              </w:rPr>
              <w:t>1.541</w:t>
            </w:r>
          </w:p>
        </w:tc>
      </w:tr>
      <w:tr w14:paraId="1311D943">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64339BC4">
            <w:r>
              <w:rPr>
                <w:rFonts w:ascii="Times New Roman" w:hAnsi="Times New Roman" w:eastAsia="宋体"/>
                <w:sz w:val="20"/>
              </w:rPr>
              <w:t>改造成本（预算匹配度）</w:t>
            </w:r>
          </w:p>
        </w:tc>
        <w:tc>
          <w:tcPr>
            <w:tcW w:w="1722" w:type="dxa"/>
          </w:tcPr>
          <w:p w14:paraId="2B4D4929">
            <w:r>
              <w:rPr>
                <w:rFonts w:ascii="Times New Roman" w:hAnsi="Times New Roman" w:eastAsia="宋体"/>
                <w:sz w:val="20"/>
              </w:rPr>
              <w:t>0.109</w:t>
            </w:r>
          </w:p>
        </w:tc>
        <w:tc>
          <w:tcPr>
            <w:tcW w:w="1722" w:type="dxa"/>
          </w:tcPr>
          <w:p w14:paraId="3D8BE721">
            <w:r>
              <w:rPr>
                <w:rFonts w:ascii="Times New Roman" w:hAnsi="Times New Roman" w:eastAsia="宋体"/>
                <w:sz w:val="20"/>
              </w:rPr>
              <w:t>—</w:t>
            </w:r>
          </w:p>
        </w:tc>
        <w:tc>
          <w:tcPr>
            <w:tcW w:w="1722" w:type="dxa"/>
          </w:tcPr>
          <w:p w14:paraId="1E717020">
            <w:r>
              <w:rPr>
                <w:rFonts w:ascii="Times New Roman" w:hAnsi="Times New Roman" w:eastAsia="宋体"/>
                <w:sz w:val="20"/>
              </w:rPr>
              <w:t>3.8</w:t>
            </w:r>
          </w:p>
        </w:tc>
        <w:tc>
          <w:tcPr>
            <w:tcW w:w="1722" w:type="dxa"/>
          </w:tcPr>
          <w:p w14:paraId="55D9E552">
            <w:r>
              <w:rPr>
                <w:rFonts w:ascii="Times New Roman" w:hAnsi="Times New Roman" w:eastAsia="宋体"/>
                <w:sz w:val="20"/>
              </w:rPr>
              <w:t>0.414</w:t>
            </w:r>
          </w:p>
        </w:tc>
      </w:tr>
      <w:tr w14:paraId="2516FA44">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7C3C66C2">
            <w:r>
              <w:rPr>
                <w:rFonts w:ascii="Times New Roman" w:hAnsi="Times New Roman" w:eastAsia="宋体"/>
                <w:sz w:val="20"/>
              </w:rPr>
              <w:t>实施难度（实施顺畅度）</w:t>
            </w:r>
          </w:p>
        </w:tc>
        <w:tc>
          <w:tcPr>
            <w:tcW w:w="1722" w:type="dxa"/>
          </w:tcPr>
          <w:p w14:paraId="585AF7A6">
            <w:r>
              <w:rPr>
                <w:rFonts w:ascii="Times New Roman" w:hAnsi="Times New Roman" w:eastAsia="宋体"/>
                <w:sz w:val="20"/>
              </w:rPr>
              <w:t>0.068</w:t>
            </w:r>
          </w:p>
        </w:tc>
        <w:tc>
          <w:tcPr>
            <w:tcW w:w="1722" w:type="dxa"/>
          </w:tcPr>
          <w:p w14:paraId="1B1318B8">
            <w:r>
              <w:rPr>
                <w:rFonts w:ascii="Times New Roman" w:hAnsi="Times New Roman" w:eastAsia="宋体"/>
                <w:sz w:val="20"/>
              </w:rPr>
              <w:t>—</w:t>
            </w:r>
          </w:p>
        </w:tc>
        <w:tc>
          <w:tcPr>
            <w:tcW w:w="1722" w:type="dxa"/>
          </w:tcPr>
          <w:p w14:paraId="21221A19">
            <w:r>
              <w:rPr>
                <w:rFonts w:ascii="Times New Roman" w:hAnsi="Times New Roman" w:eastAsia="宋体"/>
                <w:sz w:val="20"/>
              </w:rPr>
              <w:t>3.5</w:t>
            </w:r>
          </w:p>
        </w:tc>
        <w:tc>
          <w:tcPr>
            <w:tcW w:w="1722" w:type="dxa"/>
          </w:tcPr>
          <w:p w14:paraId="47AA7FBD">
            <w:r>
              <w:rPr>
                <w:rFonts w:ascii="Times New Roman" w:hAnsi="Times New Roman" w:eastAsia="宋体"/>
                <w:sz w:val="20"/>
              </w:rPr>
              <w:t>0.238</w:t>
            </w:r>
          </w:p>
        </w:tc>
      </w:tr>
      <w:tr w14:paraId="467BCAD1">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12F98B75">
            <w:r>
              <w:rPr>
                <w:rFonts w:ascii="Times New Roman" w:hAnsi="Times New Roman" w:eastAsia="宋体"/>
                <w:sz w:val="20"/>
              </w:rPr>
              <w:t>预期效果（KPI达成度）</w:t>
            </w:r>
          </w:p>
        </w:tc>
        <w:tc>
          <w:tcPr>
            <w:tcW w:w="1722" w:type="dxa"/>
          </w:tcPr>
          <w:p w14:paraId="433F9348">
            <w:r>
              <w:rPr>
                <w:rFonts w:ascii="Times New Roman" w:hAnsi="Times New Roman" w:eastAsia="宋体"/>
                <w:sz w:val="20"/>
              </w:rPr>
              <w:t>0.228</w:t>
            </w:r>
          </w:p>
        </w:tc>
        <w:tc>
          <w:tcPr>
            <w:tcW w:w="1722" w:type="dxa"/>
          </w:tcPr>
          <w:p w14:paraId="7ECA2769">
            <w:r>
              <w:rPr>
                <w:rFonts w:ascii="Times New Roman" w:hAnsi="Times New Roman" w:eastAsia="宋体"/>
                <w:sz w:val="20"/>
              </w:rPr>
              <w:t>2.0</w:t>
            </w:r>
          </w:p>
        </w:tc>
        <w:tc>
          <w:tcPr>
            <w:tcW w:w="1722" w:type="dxa"/>
          </w:tcPr>
          <w:p w14:paraId="7719E57C">
            <w:r>
              <w:rPr>
                <w:rFonts w:ascii="Times New Roman" w:hAnsi="Times New Roman" w:eastAsia="宋体"/>
                <w:sz w:val="20"/>
              </w:rPr>
              <w:t>4.0</w:t>
            </w:r>
          </w:p>
        </w:tc>
        <w:tc>
          <w:tcPr>
            <w:tcW w:w="1722" w:type="dxa"/>
          </w:tcPr>
          <w:p w14:paraId="53DD5BA0">
            <w:r>
              <w:rPr>
                <w:rFonts w:ascii="Times New Roman" w:hAnsi="Times New Roman" w:eastAsia="宋体"/>
                <w:sz w:val="20"/>
              </w:rPr>
              <w:t>0.912</w:t>
            </w:r>
          </w:p>
        </w:tc>
      </w:tr>
      <w:tr w14:paraId="22F8E9E7">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0B61EBE5">
            <w:r>
              <w:rPr>
                <w:rFonts w:ascii="Times New Roman" w:hAnsi="Times New Roman" w:eastAsia="宋体"/>
                <w:sz w:val="20"/>
              </w:rPr>
              <w:t>患者影响（满意度改善）</w:t>
            </w:r>
          </w:p>
        </w:tc>
        <w:tc>
          <w:tcPr>
            <w:tcW w:w="1722" w:type="dxa"/>
          </w:tcPr>
          <w:p w14:paraId="498E9ED4">
            <w:r>
              <w:rPr>
                <w:rFonts w:ascii="Times New Roman" w:hAnsi="Times New Roman" w:eastAsia="宋体"/>
                <w:sz w:val="20"/>
              </w:rPr>
              <w:t>0.228</w:t>
            </w:r>
          </w:p>
        </w:tc>
        <w:tc>
          <w:tcPr>
            <w:tcW w:w="1722" w:type="dxa"/>
          </w:tcPr>
          <w:p w14:paraId="6C3A3C5F">
            <w:r>
              <w:rPr>
                <w:rFonts w:ascii="Times New Roman" w:hAnsi="Times New Roman" w:eastAsia="宋体"/>
                <w:sz w:val="20"/>
              </w:rPr>
              <w:t>3.8</w:t>
            </w:r>
          </w:p>
        </w:tc>
        <w:tc>
          <w:tcPr>
            <w:tcW w:w="1722" w:type="dxa"/>
          </w:tcPr>
          <w:p w14:paraId="72E6CD8F">
            <w:r>
              <w:rPr>
                <w:rFonts w:ascii="Times New Roman" w:hAnsi="Times New Roman" w:eastAsia="宋体"/>
                <w:sz w:val="20"/>
              </w:rPr>
              <w:t>4.3</w:t>
            </w:r>
          </w:p>
        </w:tc>
        <w:tc>
          <w:tcPr>
            <w:tcW w:w="1722" w:type="dxa"/>
          </w:tcPr>
          <w:p w14:paraId="7F64B187">
            <w:r>
              <w:rPr>
                <w:rFonts w:ascii="Times New Roman" w:hAnsi="Times New Roman" w:eastAsia="宋体"/>
                <w:sz w:val="20"/>
              </w:rPr>
              <w:t>0.980</w:t>
            </w:r>
          </w:p>
        </w:tc>
      </w:tr>
      <w:tr w14:paraId="33787749">
        <w:tblPrEx>
          <w:tblBorders>
            <w:top w:val="single" w:color="000000" w:sz="12" w:space="0"/>
            <w:left w:val="none" w:color="000000" w:sz="0" w:space="0"/>
            <w:bottom w:val="single" w:color="000000" w:sz="12" w:space="0"/>
            <w:right w:val="none" w:color="000000" w:sz="0" w:space="0"/>
            <w:insideH w:val="none" w:color="000000" w:sz="0" w:space="0"/>
            <w:insideV w:val="none" w:color="000000" w:sz="0" w:space="0"/>
          </w:tblBorders>
          <w:tblCellMar>
            <w:top w:w="0" w:type="dxa"/>
            <w:left w:w="108" w:type="dxa"/>
            <w:bottom w:w="0" w:type="dxa"/>
            <w:right w:w="108" w:type="dxa"/>
          </w:tblCellMar>
        </w:tblPrEx>
        <w:trPr>
          <w:jc w:val="center"/>
        </w:trPr>
        <w:tc>
          <w:tcPr>
            <w:tcW w:w="1722" w:type="dxa"/>
          </w:tcPr>
          <w:p w14:paraId="7075278F">
            <w:pPr>
              <w:rPr>
                <w:rFonts w:hint="eastAsia" w:eastAsia="宋体"/>
                <w:lang w:eastAsia="zh-CN"/>
              </w:rPr>
            </w:pPr>
            <w:r>
              <w:rPr>
                <w:rFonts w:ascii="Times New Roman" w:hAnsi="Times New Roman" w:eastAsia="宋体"/>
                <w:sz w:val="20"/>
              </w:rPr>
              <w:t>综合得分</w:t>
            </w:r>
          </w:p>
        </w:tc>
        <w:tc>
          <w:tcPr>
            <w:tcW w:w="1722" w:type="dxa"/>
          </w:tcPr>
          <w:p w14:paraId="4479C50B">
            <w:pPr>
              <w:rPr>
                <w:rFonts w:hint="eastAsia" w:eastAsia="宋体"/>
                <w:lang w:eastAsia="zh-CN"/>
              </w:rPr>
            </w:pPr>
            <w:r>
              <w:rPr>
                <w:rFonts w:ascii="Times New Roman" w:hAnsi="Times New Roman" w:eastAsia="宋体"/>
                <w:sz w:val="20"/>
              </w:rPr>
              <w:t>1.000</w:t>
            </w:r>
          </w:p>
        </w:tc>
        <w:tc>
          <w:tcPr>
            <w:tcW w:w="1722" w:type="dxa"/>
          </w:tcPr>
          <w:p w14:paraId="0962D965">
            <w:pPr>
              <w:rPr>
                <w:rFonts w:hint="eastAsia" w:eastAsia="宋体"/>
                <w:lang w:eastAsia="zh-CN"/>
              </w:rPr>
            </w:pPr>
            <w:r>
              <w:rPr>
                <w:rFonts w:ascii="Times New Roman" w:hAnsi="Times New Roman" w:eastAsia="宋体"/>
                <w:sz w:val="20"/>
              </w:rPr>
              <w:t>2.72</w:t>
            </w:r>
          </w:p>
        </w:tc>
        <w:tc>
          <w:tcPr>
            <w:tcW w:w="1722" w:type="dxa"/>
          </w:tcPr>
          <w:p w14:paraId="24316124">
            <w:pPr>
              <w:rPr>
                <w:rFonts w:hint="eastAsia" w:eastAsia="宋体"/>
                <w:lang w:eastAsia="zh-CN"/>
              </w:rPr>
            </w:pPr>
            <w:r>
              <w:rPr>
                <w:rFonts w:ascii="Times New Roman" w:hAnsi="Times New Roman" w:eastAsia="宋体"/>
                <w:sz w:val="20"/>
              </w:rPr>
              <w:t>4.09</w:t>
            </w:r>
          </w:p>
        </w:tc>
        <w:tc>
          <w:tcPr>
            <w:tcW w:w="1722" w:type="dxa"/>
          </w:tcPr>
          <w:p w14:paraId="44D5F824">
            <w:pPr>
              <w:rPr>
                <w:rFonts w:hint="eastAsia" w:eastAsia="宋体"/>
                <w:lang w:eastAsia="zh-CN"/>
              </w:rPr>
            </w:pPr>
            <w:r>
              <w:rPr>
                <w:rFonts w:ascii="Times New Roman" w:hAnsi="Times New Roman" w:eastAsia="宋体"/>
                <w:sz w:val="20"/>
              </w:rPr>
              <w:t>综合改善+1.37（+50.4%）</w:t>
            </w:r>
          </w:p>
        </w:tc>
      </w:tr>
    </w:tbl>
    <w:p w14:paraId="65304707"/>
    <w:p w14:paraId="5E6E45AD">
      <w:pPr>
        <w:spacing w:before="0" w:after="120" w:line="240" w:lineRule="auto"/>
      </w:pPr>
      <w:r>
        <w:rPr>
          <w:rFonts w:ascii="Times New Roman" w:hAnsi="Times New Roman" w:eastAsia="宋体"/>
          <w:b w:val="0"/>
          <w:sz w:val="21"/>
        </w:rPr>
        <w:t>注："改造成本"与"实施难度"两个维度分别评估实际资源投入与预算的匹配程度、实施过程的顺畅程度，在优化实施之前尚不存在相应的评估对象，故无优化前得分；优化前综合得分仅基于存在前测得分的三个维度按归一化权重计算。加权贡献为各维度权重与优化后得分之积，各行之和（舍入误差内）等于优化后综合得分。</w:t>
      </w:r>
    </w:p>
    <w:p w14:paraId="4D9EDA57">
      <w:pPr>
        <w:spacing w:before="0" w:after="0" w:line="400" w:lineRule="exact"/>
        <w:ind w:firstLine="480"/>
        <w:jc w:val="both"/>
      </w:pPr>
      <w:r>
        <w:rPr>
          <w:rFonts w:ascii="Times New Roman" w:hAnsi="Times New Roman" w:eastAsia="宋体"/>
          <w:b w:val="0"/>
          <w:sz w:val="24"/>
        </w:rPr>
        <w:t>优化前的综合得分为2.72（5分制，按存在前测得分的三个维度计算），优化后提升至4.09，提升幅度为1.37（+50.4%）。从各维度的优化后加权贡献来看，"影响程度"维度的贡献最高（1.541），说明优化方案有效消除了流程中的主要瓶颈；"预期效果"维度次之（0.912），表明KPI的实际改善与预期目标之间的吻合度较高。</w:t>
      </w:r>
    </w:p>
    <w:p w14:paraId="24DDDF58">
      <w:pPr>
        <w:spacing w:before="240" w:after="120" w:line="240" w:lineRule="auto"/>
        <w:ind w:firstLine="520"/>
        <w:outlineLvl w:val="2"/>
      </w:pPr>
      <w:bookmarkStart w:id="73" w:name="_Toc22135"/>
      <w:r>
        <w:rPr>
          <w:rFonts w:ascii="Times New Roman" w:hAnsi="Times New Roman" w:eastAsia="黑体"/>
          <w:b/>
          <w:sz w:val="26"/>
        </w:rPr>
        <w:t>四、优化效果讨论</w:t>
      </w:r>
      <w:bookmarkEnd w:id="73"/>
    </w:p>
    <w:p w14:paraId="6DFB2738">
      <w:pPr>
        <w:spacing w:before="240" w:after="120" w:line="240" w:lineRule="auto"/>
        <w:ind w:firstLine="480"/>
        <w:outlineLvl w:val="3"/>
      </w:pPr>
      <w:r>
        <w:rPr>
          <w:rFonts w:ascii="Times New Roman" w:hAnsi="Times New Roman" w:eastAsia="黑体"/>
          <w:b/>
          <w:sz w:val="24"/>
        </w:rPr>
        <w:t>（一）效果归因分析</w:t>
      </w:r>
    </w:p>
    <w:p w14:paraId="32E0B190">
      <w:pPr>
        <w:spacing w:before="0" w:after="0" w:line="400" w:lineRule="exact"/>
        <w:ind w:firstLine="480"/>
        <w:jc w:val="both"/>
      </w:pPr>
      <w:r>
        <w:rPr>
          <w:rFonts w:ascii="Times New Roman" w:hAnsi="Times New Roman" w:eastAsia="宋体"/>
          <w:b w:val="0"/>
          <w:sz w:val="24"/>
        </w:rPr>
        <w:t>流程效率的提升从哪里来？可以拆出三个关键因素。</w:t>
      </w:r>
    </w:p>
    <w:p w14:paraId="7364AB03">
      <w:pPr>
        <w:spacing w:before="0" w:after="0" w:line="400" w:lineRule="exact"/>
        <w:ind w:firstLine="480"/>
        <w:jc w:val="both"/>
      </w:pPr>
      <w:r>
        <w:rPr>
          <w:rFonts w:ascii="Times New Roman" w:hAnsi="Times New Roman" w:eastAsia="宋体"/>
          <w:b w:val="0"/>
          <w:sz w:val="24"/>
        </w:rPr>
        <w:t>最关键的一个是诊断的精准性。传统的流程改进往往依赖管理者的经验判断，"头痛医头、脚痛医脚"的情况并不少见。本研究先用过程分析法从一千余万条事件日志中客观识别瓶颈的位置和严重程度，再用AHP排出科学的优先级，有限的优化资源因此集中投到了最需要改进的环节。实施效果也印证了这一点：AHP排名前两位的B1（处方检查衔接）和B4（信息孤岛），对应的优化措施恰好覆盖了本次试点改善最显著的领域——B1相关措施带动检查预约至完成周期缩短29.1%，配套的智能导诊分流措施亦使平均接诊等待时间下降32.5%；B4相关措施推动跨院区检查预约占比从0%提升至8.3%、检查设备日均利用率从62%提升至71%，信息孤岛打通取得了突破性进展。AHP优先级排序的有效性由此得到验证。</w:t>
      </w:r>
    </w:p>
    <w:p w14:paraId="03DDF837">
      <w:pPr>
        <w:spacing w:before="0" w:after="0" w:line="400" w:lineRule="exact"/>
        <w:ind w:firstLine="480"/>
        <w:jc w:val="both"/>
      </w:pPr>
      <w:r>
        <w:rPr>
          <w:rFonts w:ascii="Times New Roman" w:hAnsi="Times New Roman" w:eastAsia="宋体"/>
          <w:b w:val="0"/>
          <w:sz w:val="24"/>
        </w:rPr>
        <w:t>效果能够持续，靠的则是系统层面的技术改进，而不是一纸管理指令。优化方案从技术架构层面解决流程断点——统一检查预约资源池、跨院区主数据管理、实时数据同步升级，这些措施把流程的改善嵌进了系统，改善由此成为流程运行的"默认状态"，不再依赖人为的持续推动。与传统管理手段相比，这种"系统化"的改进方式更有持续性，也更容易复制。</w:t>
      </w:r>
    </w:p>
    <w:p w14:paraId="6A7739FD">
      <w:pPr>
        <w:spacing w:before="0" w:after="0" w:line="400" w:lineRule="exact"/>
        <w:ind w:firstLine="480"/>
        <w:jc w:val="both"/>
      </w:pPr>
      <w:r>
        <w:rPr>
          <w:rFonts w:ascii="Times New Roman" w:hAnsi="Times New Roman" w:eastAsia="宋体"/>
          <w:b w:val="0"/>
          <w:sz w:val="24"/>
        </w:rPr>
        <w:t>第三个因素是多方案并行带来的协同效应。本研究没有孤立地检验单一优化措施，而是在医院A同时落地检查闭环优化、处方链路优化和智能导诊三个子方案。三者互补：智能导诊削减了不必要的高峰排队，检查闭环优化缩短了最耗时的线下环节，处方链路优化压低了审核和取药的等待。整体效果之所以显著，协同效应功不可没；代价则是各子方案的独立效果无法被精确分解。</w:t>
      </w:r>
    </w:p>
    <w:p w14:paraId="51D68CCB">
      <w:pPr>
        <w:spacing w:before="240" w:after="120" w:line="240" w:lineRule="auto"/>
        <w:ind w:firstLine="480"/>
        <w:outlineLvl w:val="3"/>
      </w:pPr>
      <w:r>
        <w:rPr>
          <w:rFonts w:ascii="Times New Roman" w:hAnsi="Times New Roman" w:eastAsia="黑体"/>
          <w:b/>
          <w:sz w:val="24"/>
        </w:rPr>
        <w:t>（二）方案可推广性评估</w:t>
      </w:r>
    </w:p>
    <w:p w14:paraId="6F3A6AEF">
      <w:pPr>
        <w:spacing w:before="0" w:after="0" w:line="400" w:lineRule="exact"/>
        <w:ind w:firstLine="480"/>
        <w:jc w:val="both"/>
      </w:pPr>
      <w:r>
        <w:rPr>
          <w:rFonts w:ascii="Times New Roman" w:hAnsi="Times New Roman" w:eastAsia="宋体"/>
          <w:b w:val="0"/>
          <w:sz w:val="24"/>
        </w:rPr>
        <w:t>医院A的试点经验说明，优化方案具备向集团内其他院区推广的基本条件，但推广路上有几个差异化因素绕不开。</w:t>
      </w:r>
    </w:p>
    <w:p w14:paraId="58D93B64">
      <w:pPr>
        <w:spacing w:before="0" w:after="0" w:line="400" w:lineRule="exact"/>
        <w:ind w:firstLine="480"/>
        <w:jc w:val="both"/>
      </w:pPr>
      <w:r>
        <w:rPr>
          <w:rFonts w:ascii="Times New Roman" w:hAnsi="Times New Roman" w:eastAsia="宋体"/>
          <w:b w:val="0"/>
          <w:sz w:val="24"/>
        </w:rPr>
        <w:t>医院B和医院C在服务体量和信息系统基础上与医院A存在差异。医院B使用B厂商V3.8系统，技术上与优化方案的兼容性预计较好；医院C使用C厂商V4.5系统，版本虽不陈旧，但其数据模型与接口标准与其他厂商不同，在推广前需要额外投入前置机适配器的开发工作。医院D和医院E使用B厂商较早版本（V3.5/V3.4）且体量较小，部分优化方案（如跨院区资源调度）的需求规模可能不足，需要进行适度裁剪。建议的推广顺序为：优先推广至医院B（技术条件最接近），随后推广至医院C（需额外适配开发），最后选择性推广至医院D和医院E（裁剪版方案）。</w:t>
      </w:r>
    </w:p>
    <w:p w14:paraId="48EC2BCC">
      <w:pPr>
        <w:spacing w:before="0" w:after="0" w:line="400" w:lineRule="exact"/>
        <w:ind w:firstLine="480"/>
        <w:jc w:val="both"/>
      </w:pPr>
      <w:r>
        <w:rPr>
          <w:rFonts w:ascii="Times New Roman" w:hAnsi="Times New Roman" w:eastAsia="宋体"/>
          <w:b w:val="0"/>
          <w:sz w:val="24"/>
        </w:rPr>
        <w:t>此外，AHP评价中得分相对较低的B3（药品配送最后一公里，得分0.142）和B6（数据利用不足，得分0.125）虽在本次试点中未作为优先实施项，但在核心方案推广取得阶段性成功后，建议纳入下一阶段的改进计划中。特别是B3（药品配送）直接关系患者的末端体验，且患者满意度数据表明该领域仍有显著改善空间（配送到家选择率虽提升至31%，但仍有半数以上患者选择了到院自取或到店自取）。</w:t>
      </w:r>
    </w:p>
    <w:p w14:paraId="0836C232">
      <w:pPr>
        <w:spacing w:before="0" w:after="0" w:line="400" w:lineRule="exact"/>
        <w:ind w:firstLine="480"/>
        <w:jc w:val="both"/>
      </w:pPr>
      <w:r>
        <w:rPr>
          <w:rFonts w:ascii="Times New Roman" w:hAnsi="Times New Roman" w:eastAsia="宋体"/>
          <w:b w:val="0"/>
          <w:sz w:val="24"/>
        </w:rPr>
        <w:t>把视野放宽一些，本研究提出的"Process Mining诊断→AHP优先级排序→服务蓝图建模→准实验验证"四步方法论，用武之地不限于A医药集团的互联网医院——其他面临类似多院区流程协同挑战的医疗集团，同样可以从中取法。方法的推广有两个前提：信息系统能够输出符合过程分析法要求的事件日志数据（含Case ID、Activity和Timestamp三要素）；管理层对数据驱动的流程改进方法有基本的支持和配合意愿。</w:t>
      </w:r>
    </w:p>
    <w:p w14:paraId="60A12757">
      <w:pPr>
        <w:spacing w:before="480" w:after="360" w:line="240" w:lineRule="auto"/>
        <w:jc w:val="center"/>
        <w:outlineLvl w:val="0"/>
      </w:pPr>
      <w:bookmarkStart w:id="74" w:name="_Toc20531"/>
      <w:r>
        <w:rPr>
          <w:rFonts w:ascii="Times New Roman" w:hAnsi="Times New Roman" w:eastAsia="黑体"/>
          <w:b/>
          <w:sz w:val="32"/>
        </w:rPr>
        <w:t>第五章　结论与展望</w:t>
      </w:r>
      <w:bookmarkEnd w:id="74"/>
    </w:p>
    <w:p w14:paraId="321A8094">
      <w:pPr>
        <w:spacing w:before="480" w:after="120" w:line="240" w:lineRule="auto"/>
        <w:jc w:val="center"/>
        <w:outlineLvl w:val="1"/>
      </w:pPr>
      <w:bookmarkStart w:id="75" w:name="_Toc14308"/>
      <w:r>
        <w:rPr>
          <w:rFonts w:ascii="Times New Roman" w:hAnsi="Times New Roman" w:eastAsia="黑体"/>
          <w:b/>
          <w:sz w:val="28"/>
        </w:rPr>
        <w:t>第一节　研究结论</w:t>
      </w:r>
      <w:bookmarkEnd w:id="75"/>
    </w:p>
    <w:p w14:paraId="6865E7BE">
      <w:pPr>
        <w:spacing w:before="0" w:after="0" w:line="400" w:lineRule="exact"/>
        <w:ind w:firstLine="480"/>
        <w:jc w:val="both"/>
      </w:pPr>
      <w:r>
        <w:rPr>
          <w:rFonts w:ascii="Times New Roman" w:hAnsi="Times New Roman" w:eastAsia="宋体"/>
          <w:b w:val="0"/>
          <w:sz w:val="24"/>
        </w:rPr>
        <w:t>本研究以数字化转型背景下的A医药集团互联网医院为对象，</w:t>
      </w:r>
      <w:r>
        <w:rPr>
          <w:rFonts w:hint="eastAsia" w:ascii="Times New Roman" w:hAnsi="Times New Roman"/>
          <w:b w:val="0"/>
          <w:sz w:val="24"/>
          <w:lang w:val="en-US" w:eastAsia="zh-CN"/>
        </w:rPr>
        <w:t>综合运用</w:t>
      </w:r>
      <w:r>
        <w:rPr>
          <w:rFonts w:ascii="Times New Roman" w:hAnsi="Times New Roman" w:eastAsia="宋体"/>
          <w:b w:val="0"/>
          <w:sz w:val="24"/>
        </w:rPr>
        <w:t>过程分析法</w:t>
      </w:r>
      <w:r>
        <w:rPr>
          <w:rFonts w:ascii="Times New Roman" w:hAnsi="Times New Roman" w:eastAsia="宋体"/>
          <w:b w:val="0"/>
          <w:sz w:val="24"/>
        </w:rPr>
        <w:t>、层次分析法</w:t>
      </w:r>
      <w:r>
        <w:rPr>
          <w:rFonts w:ascii="Times New Roman" w:hAnsi="Times New Roman" w:eastAsia="宋体"/>
          <w:b w:val="0"/>
          <w:sz w:val="24"/>
        </w:rPr>
        <w:t>、服务蓝图法和准实验法</w:t>
      </w:r>
      <w:r>
        <w:rPr>
          <w:rFonts w:ascii="Times New Roman" w:hAnsi="Times New Roman" w:eastAsia="宋体"/>
          <w:b w:val="0"/>
          <w:sz w:val="24"/>
        </w:rPr>
        <w:t>，对多院区互联网医院的服务流程完成了数据驱动的系统诊断、优先级评价、优化方案设计和效果验证。主要结论如下。</w:t>
      </w:r>
    </w:p>
    <w:p w14:paraId="4ED811D6">
      <w:pPr>
        <w:spacing w:before="240" w:after="120" w:line="240" w:lineRule="auto"/>
        <w:ind w:firstLine="520"/>
        <w:outlineLvl w:val="2"/>
      </w:pPr>
      <w:bookmarkStart w:id="76" w:name="_Toc23380"/>
      <w:r>
        <w:rPr>
          <w:rFonts w:ascii="Times New Roman" w:hAnsi="Times New Roman" w:eastAsia="黑体"/>
          <w:b/>
          <w:sz w:val="26"/>
        </w:rPr>
        <w:t>一、三个核心问题的回答</w:t>
      </w:r>
      <w:bookmarkEnd w:id="76"/>
    </w:p>
    <w:p w14:paraId="5F7C6709">
      <w:pPr>
        <w:spacing w:before="0" w:after="0" w:line="400" w:lineRule="exact"/>
        <w:ind w:firstLine="480"/>
        <w:jc w:val="both"/>
      </w:pPr>
      <w:r>
        <w:rPr>
          <w:rFonts w:hint="eastAsia" w:ascii="Times New Roman" w:hAnsi="Times New Roman"/>
          <w:b w:val="0"/>
          <w:sz w:val="24"/>
          <w:lang w:val="en-US" w:eastAsia="zh-CN"/>
        </w:rPr>
        <w:t>第一</w:t>
      </w:r>
      <w:r>
        <w:rPr>
          <w:rFonts w:hint="eastAsia" w:ascii="Times New Roman" w:hAnsi="Times New Roman"/>
          <w:b w:val="0"/>
          <w:sz w:val="24"/>
          <w:lang w:val="en-US" w:eastAsia="zh-CN"/>
        </w:rPr>
        <w:t>、</w:t>
      </w:r>
      <w:r>
        <w:rPr>
          <w:rFonts w:ascii="Times New Roman" w:hAnsi="Times New Roman" w:eastAsia="宋体"/>
          <w:b w:val="0"/>
          <w:sz w:val="24"/>
        </w:rPr>
        <w:t>关于线上线下流程断点问题。研究发现，A医药集团互联网医院的线上线下流程断点并非零散分布的孤立问题，而是集中出现在三个关键衔接点上：电子处方到线下检查的数据传递环节、检查结果到复诊的信息回传环节以及药品配送的最后一公里环节。通过过程分析法从一千余万条事件日志中提取的定量证据表明，检查预约到检查完成的平均周期为40.9小时，处方审核通过到取药完成的平均耗时为20.4分钟，这两个环节的等待时间和流转波动的P90值远超正常范围，是流程效率损失的主要来源。本研究设计的线上线下一体化流程再造方案</w:t>
      </w:r>
      <w:r>
        <w:rPr>
          <w:rFonts w:hint="eastAsia" w:ascii="Times New Roman" w:hAnsi="Times New Roman"/>
          <w:b w:val="0"/>
          <w:sz w:val="24"/>
          <w:lang w:eastAsia="zh-CN"/>
        </w:rPr>
        <w:t>，</w:t>
      </w:r>
      <w:r>
        <w:rPr>
          <w:rFonts w:ascii="Times New Roman" w:hAnsi="Times New Roman" w:eastAsia="宋体"/>
          <w:b w:val="0"/>
          <w:sz w:val="24"/>
        </w:rPr>
        <w:t>涵盖问诊检查闭环优化、处方取药链路打通、智能导诊分流和信息同步保障四个子方案</w:t>
      </w:r>
      <w:r>
        <w:rPr>
          <w:rFonts w:hint="eastAsia" w:ascii="Times New Roman" w:hAnsi="Times New Roman"/>
          <w:b w:val="0"/>
          <w:sz w:val="24"/>
          <w:lang w:eastAsia="zh-CN"/>
        </w:rPr>
        <w:t>，</w:t>
      </w:r>
      <w:r>
        <w:rPr>
          <w:rFonts w:hint="eastAsia" w:ascii="Times New Roman" w:hAnsi="Times New Roman"/>
          <w:b w:val="0"/>
          <w:sz w:val="24"/>
          <w:lang w:val="en-US" w:eastAsia="zh-CN"/>
        </w:rPr>
        <w:t>且</w:t>
      </w:r>
      <w:r>
        <w:rPr>
          <w:rFonts w:ascii="Times New Roman" w:hAnsi="Times New Roman" w:eastAsia="宋体"/>
          <w:b w:val="0"/>
          <w:sz w:val="24"/>
        </w:rPr>
        <w:t>在试点院区实施后取得了显著效果：</w:t>
      </w:r>
      <w:r>
        <w:rPr>
          <w:rFonts w:ascii="Times New Roman" w:hAnsi="Times New Roman" w:eastAsia="宋体"/>
          <w:b w:val="0"/>
          <w:sz w:val="24"/>
          <w:highlight w:val="yellow"/>
        </w:rPr>
        <w:t>接诊等待时间减少32.5%、检查预约至完成周期缩短29.1%、处方到取药耗时减少33.4%、返工率下降2.3个百分点</w:t>
      </w:r>
      <w:r>
        <w:rPr>
          <w:rFonts w:ascii="Times New Roman" w:hAnsi="Times New Roman" w:eastAsia="宋体"/>
          <w:b w:val="0"/>
          <w:sz w:val="24"/>
        </w:rPr>
        <w:t>。这些数据证实了通过系统化的流程再造可以从根本上改善线上线下的衔接效率。</w:t>
      </w:r>
    </w:p>
    <w:p w14:paraId="1181489C">
      <w:pPr>
        <w:spacing w:before="0" w:after="0" w:line="400" w:lineRule="exact"/>
        <w:ind w:firstLine="480"/>
        <w:jc w:val="both"/>
      </w:pPr>
      <w:r>
        <w:rPr>
          <w:rFonts w:hint="eastAsia" w:ascii="Times New Roman" w:hAnsi="Times New Roman"/>
          <w:b w:val="0"/>
          <w:sz w:val="24"/>
          <w:lang w:val="en-US" w:eastAsia="zh-CN"/>
        </w:rPr>
        <w:t>第二、</w:t>
      </w:r>
      <w:r>
        <w:rPr>
          <w:rFonts w:ascii="Times New Roman" w:hAnsi="Times New Roman" w:eastAsia="宋体"/>
          <w:b w:val="0"/>
          <w:sz w:val="24"/>
        </w:rPr>
        <w:t>关于多院区协同障碍问题。研究发现，A医药集团多院区协同不畅的根源在于三个层面的结构性障碍。在技术层面，各院区HIS系统</w:t>
      </w:r>
      <w:r>
        <w:rPr>
          <w:rFonts w:hint="eastAsia" w:ascii="Times New Roman" w:hAnsi="Times New Roman"/>
          <w:b w:val="0"/>
          <w:sz w:val="24"/>
          <w:lang w:val="en-US" w:eastAsia="zh-CN"/>
        </w:rPr>
        <w:t>厂商</w:t>
      </w:r>
      <w:r>
        <w:rPr>
          <w:rFonts w:hint="eastAsia" w:ascii="Times New Roman" w:hAnsi="Times New Roman"/>
          <w:b w:val="0"/>
          <w:sz w:val="24"/>
          <w:lang w:val="en-US" w:eastAsia="zh-CN"/>
        </w:rPr>
        <w:t>及</w:t>
      </w:r>
      <w:r>
        <w:rPr>
          <w:rFonts w:hint="eastAsia" w:ascii="Times New Roman" w:hAnsi="Times New Roman"/>
          <w:b w:val="0"/>
          <w:sz w:val="24"/>
          <w:lang w:val="en-US" w:eastAsia="zh-CN"/>
        </w:rPr>
        <w:t>系统</w:t>
      </w:r>
      <w:r>
        <w:rPr>
          <w:rFonts w:ascii="Times New Roman" w:hAnsi="Times New Roman" w:eastAsia="宋体"/>
          <w:b w:val="0"/>
          <w:sz w:val="24"/>
        </w:rPr>
        <w:t>版本不一</w:t>
      </w:r>
      <w:r>
        <w:rPr>
          <w:rFonts w:ascii="Times New Roman" w:hAnsi="Times New Roman" w:eastAsia="宋体"/>
          <w:b w:val="0"/>
          <w:sz w:val="24"/>
        </w:rPr>
        <w:t>，数据标准</w:t>
      </w:r>
      <w:r>
        <w:rPr>
          <w:rFonts w:hint="eastAsia" w:ascii="Times New Roman" w:hAnsi="Times New Roman"/>
          <w:b w:val="0"/>
          <w:sz w:val="24"/>
          <w:lang w:val="en-US" w:eastAsia="zh-CN"/>
        </w:rPr>
        <w:t>也</w:t>
      </w:r>
      <w:r>
        <w:rPr>
          <w:rFonts w:ascii="Times New Roman" w:hAnsi="Times New Roman" w:eastAsia="宋体"/>
          <w:b w:val="0"/>
          <w:sz w:val="24"/>
        </w:rPr>
        <w:t>不统一，缺乏跨院区的数据互通机制。在管理层面，各院区在接诊时限、处方审核标准和检查结果互认等方面的服务标准不一致，导致跨院区服务体验的显著差异。在组织层面，集团</w:t>
      </w:r>
      <w:r>
        <w:rPr>
          <w:rFonts w:ascii="Times New Roman" w:hAnsi="Times New Roman" w:eastAsia="宋体"/>
          <w:b w:val="0"/>
          <w:sz w:val="24"/>
        </w:rPr>
        <w:t>缺乏跨院区资源调度的统一机制，优质专家资源被"锁定"在各自院区。本研究设计的多院区协同机制</w:t>
      </w:r>
      <w:r>
        <w:rPr>
          <w:rFonts w:hint="eastAsia" w:ascii="Times New Roman" w:hAnsi="Times New Roman"/>
          <w:b w:val="0"/>
          <w:sz w:val="24"/>
          <w:lang w:eastAsia="zh-CN"/>
        </w:rPr>
        <w:t>，</w:t>
      </w:r>
      <w:r>
        <w:rPr>
          <w:rFonts w:ascii="Times New Roman" w:hAnsi="Times New Roman" w:eastAsia="宋体"/>
          <w:b w:val="0"/>
          <w:sz w:val="24"/>
        </w:rPr>
        <w:t>包含统一患者身份标识与数据互通、跨院区资源调度与转诊、集中化质控与分布式执行三个层次</w:t>
      </w:r>
      <w:r>
        <w:rPr>
          <w:rFonts w:hint="eastAsia" w:ascii="Times New Roman" w:hAnsi="Times New Roman"/>
          <w:b w:val="0"/>
          <w:sz w:val="24"/>
          <w:lang w:eastAsia="zh-CN"/>
        </w:rPr>
        <w:t>，</w:t>
      </w:r>
      <w:r>
        <w:rPr>
          <w:rFonts w:ascii="Times New Roman" w:hAnsi="Times New Roman" w:eastAsia="宋体"/>
          <w:b w:val="0"/>
          <w:sz w:val="24"/>
        </w:rPr>
        <w:t>在试点中初步验证了可行性：跨院区检查预约占比从0%提升至8.3%，检查设备日均利用率从62%提升至71%，实现了集团内检查资源的跨院区共享。</w:t>
      </w:r>
    </w:p>
    <w:p w14:paraId="5D150ED1">
      <w:pPr>
        <w:spacing w:before="0" w:after="0" w:line="400" w:lineRule="exact"/>
        <w:ind w:firstLine="480"/>
        <w:jc w:val="both"/>
      </w:pPr>
      <w:r>
        <w:rPr>
          <w:rFonts w:hint="eastAsia" w:ascii="Times New Roman" w:hAnsi="Times New Roman"/>
          <w:b w:val="0"/>
          <w:sz w:val="24"/>
          <w:lang w:val="en-US" w:eastAsia="zh-CN"/>
        </w:rPr>
        <w:t>第三</w:t>
      </w:r>
      <w:r>
        <w:rPr>
          <w:rFonts w:hint="eastAsia" w:ascii="Times New Roman" w:hAnsi="Times New Roman"/>
          <w:b w:val="0"/>
          <w:sz w:val="24"/>
          <w:lang w:val="en-US" w:eastAsia="zh-CN"/>
        </w:rPr>
        <w:t>、</w:t>
      </w:r>
      <w:r>
        <w:rPr>
          <w:rFonts w:ascii="Times New Roman" w:hAnsi="Times New Roman" w:eastAsia="宋体"/>
          <w:b w:val="0"/>
          <w:sz w:val="24"/>
        </w:rPr>
        <w:t>关于运营数据利用不足问题。研究发现，A医药集团互联网医院平台虽然已积累一千余万条事件日志数据，但数据的利用停留在描述性统计层面，缺乏流程视角的分析和决策支持。本研究提出的"</w:t>
      </w:r>
      <w:r>
        <w:rPr>
          <w:rFonts w:hint="eastAsia" w:ascii="Times New Roman" w:hAnsi="Times New Roman"/>
          <w:b w:val="0"/>
          <w:sz w:val="24"/>
          <w:lang w:val="en-US" w:eastAsia="zh-CN"/>
        </w:rPr>
        <w:t xml:space="preserve"> </w:t>
      </w:r>
      <w:r>
        <w:rPr>
          <w:rFonts w:hint="eastAsia" w:ascii="Times New Roman" w:hAnsi="Times New Roman"/>
          <w:b w:val="0"/>
          <w:sz w:val="24"/>
          <w:lang w:val="en-US" w:eastAsia="zh-CN"/>
        </w:rPr>
        <w:t>过程分析</w:t>
      </w:r>
      <w:r>
        <w:rPr>
          <w:rFonts w:hint="eastAsia" w:ascii="Times New Roman" w:hAnsi="Times New Roman"/>
          <w:b w:val="0"/>
          <w:sz w:val="24"/>
          <w:lang w:val="en-US" w:eastAsia="zh-CN"/>
        </w:rPr>
        <w:t>法</w:t>
      </w:r>
      <w:r>
        <w:rPr>
          <w:rFonts w:ascii="Times New Roman" w:hAnsi="Times New Roman" w:eastAsia="宋体"/>
          <w:b w:val="0"/>
          <w:sz w:val="24"/>
        </w:rPr>
        <w:t xml:space="preserve">（客观诊断）+ </w:t>
      </w:r>
      <w:r>
        <w:rPr>
          <w:rFonts w:hint="eastAsia" w:ascii="Times New Roman" w:hAnsi="Times New Roman"/>
          <w:b w:val="0"/>
          <w:sz w:val="24"/>
          <w:lang w:val="en-US" w:eastAsia="zh-CN"/>
        </w:rPr>
        <w:t>层次分析</w:t>
      </w:r>
      <w:r>
        <w:rPr>
          <w:rFonts w:hint="eastAsia" w:ascii="Times New Roman" w:hAnsi="Times New Roman"/>
          <w:b w:val="0"/>
          <w:sz w:val="24"/>
          <w:lang w:val="en-US" w:eastAsia="zh-CN"/>
        </w:rPr>
        <w:t>法</w:t>
      </w:r>
      <w:r>
        <w:rPr>
          <w:rFonts w:ascii="Times New Roman" w:hAnsi="Times New Roman" w:eastAsia="宋体"/>
          <w:b w:val="0"/>
          <w:sz w:val="24"/>
        </w:rPr>
        <w:t>（科学排序）+ 服务蓝图（可视化建模）+ 准实验（效果验证）"方法论框架，有效弥补了这一缺口。过程分析法从海量日志中自动还原了实际流程运行的全貌，识别出六种高频流程路径和三种异常变体类型；AHP方法将定性判断转化为可比较的定量优先级，确定B1（处方检查衔接断点，得分0.215）和B4（多院区信息孤岛，得分0.198）为最优先改进领域。准实验结果表明，按AHP排序优先改进的前两个领域的实际改善幅度最大，验证了AHP优先级评价方法的有效性。</w:t>
      </w:r>
    </w:p>
    <w:p w14:paraId="1362EE48">
      <w:pPr>
        <w:spacing w:before="240" w:after="120" w:line="240" w:lineRule="auto"/>
        <w:ind w:firstLine="520"/>
        <w:outlineLvl w:val="2"/>
      </w:pPr>
      <w:bookmarkStart w:id="77" w:name="_Toc5612"/>
      <w:r>
        <w:rPr>
          <w:rFonts w:ascii="Times New Roman" w:hAnsi="Times New Roman" w:eastAsia="黑体"/>
          <w:b/>
          <w:sz w:val="26"/>
        </w:rPr>
        <w:t>二、主要研究发现</w:t>
      </w:r>
      <w:bookmarkEnd w:id="77"/>
    </w:p>
    <w:p w14:paraId="7C1589D5">
      <w:pPr>
        <w:spacing w:before="0" w:after="0" w:line="400" w:lineRule="exact"/>
        <w:ind w:firstLine="480"/>
        <w:jc w:val="both"/>
      </w:pPr>
      <w:r>
        <w:rPr>
          <w:rFonts w:hint="eastAsia" w:ascii="Times New Roman" w:hAnsi="Times New Roman"/>
          <w:b w:val="0"/>
          <w:sz w:val="24"/>
          <w:lang w:val="en-US" w:eastAsia="zh-CN"/>
        </w:rPr>
        <w:t>除了</w:t>
      </w:r>
      <w:r>
        <w:rPr>
          <w:rFonts w:hint="eastAsia" w:ascii="Times New Roman" w:hAnsi="Times New Roman"/>
          <w:b w:val="0"/>
          <w:sz w:val="24"/>
          <w:lang w:val="en-US" w:eastAsia="zh-CN"/>
        </w:rPr>
        <w:t>上述的</w:t>
      </w:r>
      <w:r>
        <w:rPr>
          <w:rFonts w:ascii="Times New Roman" w:hAnsi="Times New Roman" w:eastAsia="宋体"/>
          <w:b w:val="0"/>
          <w:sz w:val="24"/>
        </w:rPr>
        <w:t>三个核心问题之外，研究过程中还沉淀出五项值得单独陈述的发现。</w:t>
      </w:r>
    </w:p>
    <w:p w14:paraId="0C940337">
      <w:pPr>
        <w:spacing w:before="0" w:after="0" w:line="400" w:lineRule="exact"/>
        <w:ind w:firstLine="480"/>
        <w:jc w:val="both"/>
      </w:pPr>
      <w:r>
        <w:rPr>
          <w:rFonts w:ascii="Times New Roman" w:hAnsi="Times New Roman" w:eastAsia="宋体"/>
          <w:b w:val="0"/>
          <w:sz w:val="24"/>
        </w:rPr>
        <w:t>发现一：线上线下的复合型服务流程在效率损失上存在"乘数效应"。当流程断点出现在多个衔接环节时，各断点导致的延迟并非简单叠加，而是通过患者不满、系统反复查询和人工干预的增多产生乘数效应，使整体流程效率的恶化程度远超各断点独立影响之和。这一发现提示互联网医院管理者应优先关注和消除关键的流程衔接断点，而非平均用力地"全面改进"。</w:t>
      </w:r>
    </w:p>
    <w:p w14:paraId="71007A9D">
      <w:pPr>
        <w:spacing w:before="0" w:after="0" w:line="400" w:lineRule="exact"/>
        <w:ind w:firstLine="480"/>
        <w:jc w:val="both"/>
      </w:pPr>
      <w:r>
        <w:rPr>
          <w:rFonts w:ascii="Times New Roman" w:hAnsi="Times New Roman" w:eastAsia="宋体"/>
          <w:b w:val="0"/>
          <w:sz w:val="24"/>
        </w:rPr>
        <w:t>发现二：AHP优先级排序与准实验的实际效果之间存在显著的正相关关系。AHP评价得分最高的B1（处方检查衔接）和B4（多院区信息孤岛），其对应优化措施恰好覆盖了准实验中改善最为突出的领域：B1相关措施使检查预约至完成周期缩短29.1%（DID净效果），配套的智能导诊分流措施亦使平均接诊等待时间下降32.5%；B4相关措施使跨院区检查预约占比从0%提升至8.3%、检查设备日均利用率从62%提升至71%，直接体现了多院区信息孤岛被打破的效果。而得分最低的B6（数据利用不足）因在试点中未作为优先实施项，其改善主要来自其他优化项的间接溢出效应。这一正相关关系为AHP方法在流程优化优先级决策中的有效性提供了实证支持。</w:t>
      </w:r>
    </w:p>
    <w:p w14:paraId="7A0FEE86">
      <w:pPr>
        <w:spacing w:before="0" w:after="0" w:line="400" w:lineRule="exact"/>
        <w:ind w:firstLine="480"/>
        <w:jc w:val="both"/>
      </w:pPr>
      <w:r>
        <w:rPr>
          <w:rFonts w:ascii="Times New Roman" w:hAnsi="Times New Roman" w:eastAsia="宋体"/>
          <w:b w:val="0"/>
          <w:sz w:val="24"/>
        </w:rPr>
        <w:t>发现三：试点院区的技术基础和管理配合度是优化方案落地的关键成功因素。医院A作为集团</w:t>
      </w:r>
      <w:r>
        <w:rPr>
          <w:rFonts w:hint="eastAsia" w:ascii="Times New Roman" w:hAnsi="Times New Roman"/>
          <w:b w:val="0"/>
          <w:sz w:val="24"/>
          <w:lang w:eastAsia="zh-CN"/>
        </w:rPr>
        <w:t>标杆医院</w:t>
      </w:r>
      <w:r>
        <w:rPr>
          <w:rFonts w:ascii="Times New Roman" w:hAnsi="Times New Roman" w:eastAsia="宋体"/>
          <w:b w:val="0"/>
          <w:sz w:val="24"/>
        </w:rPr>
        <w:t>，</w:t>
      </w:r>
      <w:r>
        <w:rPr>
          <w:rFonts w:hint="eastAsia" w:ascii="Times New Roman" w:hAnsi="Times New Roman"/>
          <w:b w:val="0"/>
          <w:sz w:val="24"/>
          <w:lang w:val="en-US" w:eastAsia="zh-CN"/>
        </w:rPr>
        <w:t>数字化</w:t>
      </w:r>
      <w:r>
        <w:rPr>
          <w:rFonts w:hint="eastAsia" w:ascii="Times New Roman" w:hAnsi="Times New Roman"/>
          <w:b w:val="0"/>
          <w:sz w:val="24"/>
          <w:lang w:val="en-US" w:eastAsia="zh-CN"/>
        </w:rPr>
        <w:t>程度</w:t>
      </w:r>
      <w:r>
        <w:rPr>
          <w:rFonts w:hint="eastAsia" w:ascii="Times New Roman" w:hAnsi="Times New Roman"/>
          <w:b w:val="0"/>
          <w:sz w:val="24"/>
          <w:lang w:val="en-US" w:eastAsia="zh-CN"/>
        </w:rPr>
        <w:t>最高</w:t>
      </w:r>
      <w:r>
        <w:rPr>
          <w:rFonts w:hint="eastAsia" w:ascii="Times New Roman" w:hAnsi="Times New Roman"/>
          <w:b w:val="0"/>
          <w:sz w:val="24"/>
          <w:lang w:val="en-US" w:eastAsia="zh-CN"/>
        </w:rPr>
        <w:t>，</w:t>
      </w:r>
      <w:r>
        <w:rPr>
          <w:rFonts w:ascii="Times New Roman" w:hAnsi="Times New Roman" w:eastAsia="宋体"/>
          <w:b w:val="0"/>
          <w:sz w:val="24"/>
        </w:rPr>
        <w:t>HIS系统版本较新</w:t>
      </w:r>
      <w:r>
        <w:rPr>
          <w:rFonts w:ascii="Times New Roman" w:hAnsi="Times New Roman" w:eastAsia="宋体"/>
          <w:b w:val="0"/>
          <w:sz w:val="24"/>
        </w:rPr>
        <w:t>，管理层对流程优化积极支持，这是优化方案在短期内取得显著效果的重要前提。这一发现对方案的跨院区推广具有重要启示：在向技术基础较弱或管理配合度较低的院区推广时，需要预留额外的技术适配时间和变革管理投入。</w:t>
      </w:r>
    </w:p>
    <w:p w14:paraId="5CE66A5A">
      <w:pPr>
        <w:spacing w:before="0" w:after="0" w:line="400" w:lineRule="exact"/>
        <w:ind w:firstLine="480"/>
        <w:jc w:val="both"/>
      </w:pPr>
      <w:r>
        <w:rPr>
          <w:rFonts w:ascii="Times New Roman" w:hAnsi="Times New Roman" w:eastAsia="宋体"/>
          <w:b w:val="0"/>
          <w:sz w:val="24"/>
        </w:rPr>
        <w:t>发现四："系统化"的流程改进比"管理指令式"的流程改进具有更好的持续性和可复制性。本研究设计的优化方案从技术架构层面（统一检查预约资源池、跨院区主数据管理、实时数据同步升级等）解决了流程断点问题，使流程的改善嵌入到信息系统的运行逻辑中，成为流程运行的"默认状态"。这种系统化的改进方式有效降低了对人为推动和持续监督的依赖。</w:t>
      </w:r>
    </w:p>
    <w:p w14:paraId="2D530BC7">
      <w:pPr>
        <w:spacing w:before="0" w:after="0" w:line="400" w:lineRule="exact"/>
        <w:ind w:firstLine="480"/>
        <w:jc w:val="both"/>
      </w:pPr>
      <w:r>
        <w:rPr>
          <w:rFonts w:ascii="Times New Roman" w:hAnsi="Times New Roman" w:eastAsia="宋体"/>
          <w:b w:val="0"/>
          <w:sz w:val="24"/>
        </w:rPr>
        <w:t>发现五：不同类型的流程异常变体具有不同的成因和应对策略。"返工型"变体（占3.1%）主要由处方审核不通过导致，应通过升级AI审方引擎的预判能力来从源头减少；"顺序颠倒型"变体（占1.8%）主要由患者流程指引不足导致，应通过优化平台前端的信息提示和路径引导来改善；"长时间停滞型"变体（占4.6%）与系统性能和管理响应速度有关，应通过异常预警机制的建立来及时发现和响应。</w:t>
      </w:r>
    </w:p>
    <w:p w14:paraId="234AC440">
      <w:pPr>
        <w:spacing w:before="480" w:after="120" w:line="240" w:lineRule="auto"/>
        <w:jc w:val="center"/>
        <w:outlineLvl w:val="1"/>
      </w:pPr>
      <w:bookmarkStart w:id="78" w:name="_Toc6682"/>
      <w:r>
        <w:rPr>
          <w:rFonts w:ascii="Times New Roman" w:hAnsi="Times New Roman" w:eastAsia="黑体"/>
          <w:b/>
          <w:sz w:val="28"/>
        </w:rPr>
        <w:t>第二节　理论贡献与管理启示</w:t>
      </w:r>
      <w:bookmarkEnd w:id="78"/>
    </w:p>
    <w:p w14:paraId="56EA013C">
      <w:pPr>
        <w:spacing w:before="240" w:after="120" w:line="240" w:lineRule="auto"/>
        <w:ind w:firstLine="520"/>
        <w:outlineLvl w:val="2"/>
      </w:pPr>
      <w:bookmarkStart w:id="79" w:name="_Toc18848"/>
      <w:r>
        <w:rPr>
          <w:rFonts w:ascii="Times New Roman" w:hAnsi="Times New Roman" w:eastAsia="黑体"/>
          <w:b/>
          <w:sz w:val="26"/>
        </w:rPr>
        <w:t>一、学术贡献</w:t>
      </w:r>
      <w:bookmarkEnd w:id="79"/>
    </w:p>
    <w:p w14:paraId="2E94C87D">
      <w:pPr>
        <w:spacing w:before="0" w:after="0" w:line="400" w:lineRule="exact"/>
        <w:ind w:firstLine="480"/>
        <w:jc w:val="both"/>
      </w:pPr>
      <w:r>
        <w:rPr>
          <w:rFonts w:ascii="Times New Roman" w:hAnsi="Times New Roman" w:eastAsia="宋体"/>
          <w:b w:val="0"/>
          <w:sz w:val="24"/>
        </w:rPr>
        <w:t>本研究的学术贡献可区分为两个层次：贡献一与贡献二属于方法论贡献</w:t>
      </w:r>
      <w:r>
        <w:rPr>
          <w:rFonts w:hint="eastAsia" w:ascii="Times New Roman" w:hAnsi="Times New Roman"/>
          <w:b w:val="0"/>
          <w:sz w:val="24"/>
          <w:lang w:eastAsia="zh-CN"/>
        </w:rPr>
        <w:t>，</w:t>
      </w:r>
      <w:r>
        <w:rPr>
          <w:rFonts w:ascii="Times New Roman" w:hAnsi="Times New Roman" w:eastAsia="宋体"/>
          <w:b w:val="0"/>
          <w:sz w:val="24"/>
        </w:rPr>
        <w:t>它们是对流程优化方法的应用整合与场景拓展，而非对某一基础理论本身的修正；贡献三属于理论工具层面的贡献</w:t>
      </w:r>
      <w:r>
        <w:rPr>
          <w:rFonts w:hint="eastAsia" w:ascii="Times New Roman" w:hAnsi="Times New Roman"/>
          <w:b w:val="0"/>
          <w:sz w:val="24"/>
          <w:lang w:eastAsia="zh-CN"/>
        </w:rPr>
        <w:t>，</w:t>
      </w:r>
      <w:r>
        <w:rPr>
          <w:rFonts w:ascii="Times New Roman" w:hAnsi="Times New Roman" w:eastAsia="宋体"/>
          <w:b w:val="0"/>
          <w:sz w:val="24"/>
        </w:rPr>
        <w:t>为多院区协同管理研究增加了可量化、可操作的决策分析工具。具体阐述如下。</w:t>
      </w:r>
    </w:p>
    <w:p w14:paraId="6C1280D7">
      <w:pPr>
        <w:spacing w:before="0" w:after="0" w:line="400" w:lineRule="exact"/>
        <w:ind w:firstLine="480"/>
        <w:jc w:val="both"/>
      </w:pPr>
      <w:r>
        <w:rPr>
          <w:rFonts w:ascii="Times New Roman" w:hAnsi="Times New Roman" w:eastAsia="宋体"/>
          <w:b w:val="0"/>
          <w:sz w:val="24"/>
        </w:rPr>
        <w:t>贡献一：构建了数据驱动的服务流程优化方法论框架。本研究将过程分析法、AHP方法、服务蓝图法和准实验法四种方法进行了有机整合，形成了"客观诊断→科学排序→可视化建模→实证验证"的完整方法论闭环。这一框架的核心创新在于：用过程分析法替代传统的经验判断进行流程诊断，用AHP方法替代主观直觉进行优先级决策，用服务蓝图法</w:t>
      </w:r>
      <w:r>
        <w:rPr>
          <w:rFonts w:hint="eastAsia" w:ascii="Times New Roman" w:hAnsi="Times New Roman"/>
          <w:b w:val="0"/>
          <w:sz w:val="24"/>
          <w:lang w:val="en-US" w:eastAsia="zh-CN"/>
        </w:rPr>
        <w:t>拉通</w:t>
      </w:r>
      <w:r>
        <w:rPr>
          <w:rFonts w:ascii="Times New Roman" w:hAnsi="Times New Roman" w:eastAsia="宋体"/>
          <w:b w:val="0"/>
          <w:sz w:val="24"/>
        </w:rPr>
        <w:t>数据分析和管理沟通，用准实验法验证方案的真实效果。四种方法的整合产生了"1+1+1+1 &gt; 4"的协同效应——过程分析法提供了AHP评价所需的客观输入，AHP评价的结果为服务蓝图的优化设计提供了优先级指引，准实验的结果又反馈验证了前三个环节的有效性。这一方法论框架回应了Samanta等（2023）在精益医疗系统综述中指出的"数据驱动的诊断方法在流程改进中应用不足"与Voorheis等（2025）在服务蓝图应用综述中提出的"服务蓝图法需要向更复杂的数字服务场景拓展"两个研究趋势，为复杂服务场景下的流程优化研究提供了新的方法论选项。</w:t>
      </w:r>
    </w:p>
    <w:p w14:paraId="0529E2AC">
      <w:pPr>
        <w:spacing w:before="0" w:after="0" w:line="400" w:lineRule="exact"/>
        <w:ind w:firstLine="480"/>
        <w:jc w:val="both"/>
      </w:pPr>
      <w:r>
        <w:rPr>
          <w:rFonts w:ascii="Times New Roman" w:hAnsi="Times New Roman" w:eastAsia="宋体"/>
          <w:b w:val="0"/>
          <w:sz w:val="24"/>
        </w:rPr>
        <w:t>贡献二：拓展了过程分析法在互联网医疗领域的应用边界。现有过程分析法在医疗领域的应用主要集中在住院流程、急诊流程等线下场景</w:t>
      </w:r>
      <w:r>
        <w:rPr>
          <w:rFonts w:ascii="Times New Roman" w:hAnsi="Times New Roman" w:eastAsia="宋体"/>
          <w:b w:val="0"/>
          <w:sz w:val="24"/>
        </w:rPr>
        <w:t>，而本研究</w:t>
      </w:r>
      <w:r>
        <w:rPr>
          <w:rFonts w:ascii="Times New Roman" w:hAnsi="Times New Roman" w:eastAsia="宋体"/>
          <w:b w:val="0"/>
          <w:sz w:val="24"/>
        </w:rPr>
        <w:t>将其应用于"线上线下一体化+多院区协同"这一更复杂的医疗混合服务场景。研究展示了过程分析法如何在线上线下融合的流程中发现各环节的效率特征和变异模式，如何在多院区环境中识别不同院区的流程差异和协同障碍，为互联网医疗领域的流程分析研究开辟了新的方向。</w:t>
      </w:r>
    </w:p>
    <w:p w14:paraId="2F04A7E7">
      <w:pPr>
        <w:spacing w:before="0" w:after="0" w:line="400" w:lineRule="exact"/>
        <w:ind w:firstLine="480"/>
        <w:jc w:val="both"/>
      </w:pPr>
      <w:r>
        <w:rPr>
          <w:rFonts w:ascii="Times New Roman" w:hAnsi="Times New Roman" w:eastAsia="宋体"/>
          <w:b w:val="0"/>
          <w:sz w:val="24"/>
        </w:rPr>
        <w:t>贡献三：丰富了多院区协同管理的理论工具箱。现有医疗集团和城市医疗集团的协同管理研究（谭华伟等，2024；牛雨婷等，2024；李哲，任亮，2025）多从组织管理、政策设计和制度安排等宏观视角进行分析，而对协同障碍的精确诊断和协同方案的优先级排序缺乏操作性工具。本研究将AHP方法引入多院区协同障碍的优先级评价，提供了一个可量化、可比较、可验证的决策分析框架，为多院区协同管理研究从"定性分析"向"定量决策"的升级做了有益的尝试。</w:t>
      </w:r>
    </w:p>
    <w:p w14:paraId="3BDBBFC9">
      <w:pPr>
        <w:spacing w:before="240" w:after="120" w:line="240" w:lineRule="auto"/>
        <w:ind w:firstLine="520"/>
        <w:outlineLvl w:val="2"/>
      </w:pPr>
      <w:bookmarkStart w:id="80" w:name="_Toc16143"/>
      <w:r>
        <w:rPr>
          <w:rFonts w:ascii="Times New Roman" w:hAnsi="Times New Roman" w:eastAsia="黑体"/>
          <w:b/>
          <w:sz w:val="26"/>
        </w:rPr>
        <w:t>二、管理启示</w:t>
      </w:r>
      <w:bookmarkEnd w:id="80"/>
    </w:p>
    <w:p w14:paraId="5B820122">
      <w:pPr>
        <w:spacing w:before="0" w:after="0" w:line="400" w:lineRule="exact"/>
        <w:ind w:firstLine="480"/>
        <w:jc w:val="both"/>
      </w:pPr>
      <w:r>
        <w:rPr>
          <w:rFonts w:hint="eastAsia" w:ascii="Times New Roman" w:hAnsi="Times New Roman"/>
          <w:b w:val="0"/>
          <w:sz w:val="24"/>
          <w:lang w:val="en-US" w:eastAsia="zh-CN"/>
        </w:rPr>
        <w:t>基于</w:t>
      </w:r>
      <w:r>
        <w:rPr>
          <w:rFonts w:hint="eastAsia" w:ascii="Times New Roman" w:hAnsi="Times New Roman"/>
          <w:b w:val="0"/>
          <w:sz w:val="24"/>
          <w:lang w:val="en-US" w:eastAsia="zh-CN"/>
        </w:rPr>
        <w:t>本</w:t>
      </w:r>
      <w:r>
        <w:rPr>
          <w:rFonts w:ascii="Times New Roman" w:hAnsi="Times New Roman" w:eastAsia="宋体"/>
          <w:b w:val="0"/>
          <w:sz w:val="24"/>
        </w:rPr>
        <w:t>研究</w:t>
      </w:r>
      <w:r>
        <w:rPr>
          <w:rFonts w:hint="eastAsia" w:ascii="Times New Roman" w:hAnsi="Times New Roman"/>
          <w:b w:val="0"/>
          <w:sz w:val="24"/>
          <w:lang w:eastAsia="zh-CN"/>
        </w:rPr>
        <w:t>的</w:t>
      </w:r>
      <w:r>
        <w:rPr>
          <w:rFonts w:ascii="Times New Roman" w:hAnsi="Times New Roman" w:eastAsia="宋体"/>
          <w:b w:val="0"/>
          <w:sz w:val="24"/>
        </w:rPr>
        <w:t>发现</w:t>
      </w:r>
      <w:r>
        <w:rPr>
          <w:rFonts w:hint="eastAsia" w:ascii="Times New Roman" w:hAnsi="Times New Roman"/>
          <w:b w:val="0"/>
          <w:sz w:val="24"/>
          <w:lang w:eastAsia="zh-CN"/>
        </w:rPr>
        <w:t>，</w:t>
      </w:r>
      <w:r>
        <w:rPr>
          <w:rFonts w:ascii="Times New Roman" w:hAnsi="Times New Roman" w:eastAsia="宋体"/>
          <w:b w:val="0"/>
          <w:sz w:val="24"/>
        </w:rPr>
        <w:t>对互联网医院的管理实践有</w:t>
      </w:r>
      <w:r>
        <w:rPr>
          <w:rFonts w:hint="eastAsia" w:ascii="Times New Roman" w:hAnsi="Times New Roman"/>
          <w:b w:val="0"/>
          <w:sz w:val="24"/>
          <w:lang w:val="en-US" w:eastAsia="zh-CN"/>
        </w:rPr>
        <w:t>以下</w:t>
      </w:r>
      <w:r>
        <w:rPr>
          <w:rFonts w:ascii="Times New Roman" w:hAnsi="Times New Roman" w:eastAsia="宋体"/>
          <w:b w:val="0"/>
          <w:sz w:val="24"/>
        </w:rPr>
        <w:t>五点启示。</w:t>
      </w:r>
    </w:p>
    <w:p w14:paraId="4920C6E5">
      <w:pPr>
        <w:spacing w:before="0" w:after="0" w:line="400" w:lineRule="exact"/>
        <w:ind w:firstLine="480"/>
        <w:jc w:val="both"/>
      </w:pPr>
      <w:r>
        <w:rPr>
          <w:rFonts w:hint="eastAsia" w:ascii="Times New Roman" w:hAnsi="Times New Roman"/>
          <w:b w:val="0"/>
          <w:sz w:val="24"/>
          <w:lang w:val="en-US" w:eastAsia="zh-CN"/>
        </w:rPr>
        <w:t>第一</w:t>
      </w:r>
      <w:r>
        <w:rPr>
          <w:rFonts w:hint="eastAsia" w:ascii="Times New Roman" w:hAnsi="Times New Roman"/>
          <w:b w:val="0"/>
          <w:sz w:val="24"/>
          <w:lang w:val="en-US" w:eastAsia="zh-CN"/>
        </w:rPr>
        <w:t>、</w:t>
      </w:r>
      <w:r>
        <w:rPr>
          <w:rFonts w:ascii="Times New Roman" w:hAnsi="Times New Roman" w:eastAsia="宋体"/>
          <w:b w:val="0"/>
          <w:sz w:val="24"/>
        </w:rPr>
        <w:t>管理思维要从"经验驱动"转向"数据驱动"。传统的医院管理往往依赖管理者的个人经验和直觉判断，这在流程简单、场景单一的线下环境中可能尚可应付，但在线上线下融合、多院区协同的复杂场景下，经验驱动的管理模式已捉襟见肘。本研究展示了数据驱动方法在流程诊断中的独特价值</w:t>
      </w:r>
      <w:r>
        <w:rPr>
          <w:rFonts w:hint="eastAsia" w:ascii="Times New Roman" w:hAnsi="Times New Roman"/>
          <w:b w:val="0"/>
          <w:sz w:val="24"/>
          <w:lang w:eastAsia="zh-CN"/>
        </w:rPr>
        <w:t>，</w:t>
      </w:r>
      <w:r>
        <w:rPr>
          <w:rFonts w:ascii="Times New Roman" w:hAnsi="Times New Roman" w:eastAsia="宋体"/>
          <w:b w:val="0"/>
          <w:sz w:val="24"/>
        </w:rPr>
        <w:t>一千余万条事件日志所呈现的流程运行全貌，是任何管理者的个人经验都无法完整把握的。建议互联网医院管理者重视运营数据的收集和积累，并引入过程分析法等数据分析工具，建立常态化的数据驱动流程诊断机制。</w:t>
      </w:r>
    </w:p>
    <w:p w14:paraId="0064586B">
      <w:pPr>
        <w:spacing w:before="0" w:after="0" w:line="400" w:lineRule="exact"/>
        <w:ind w:firstLine="480"/>
        <w:jc w:val="both"/>
      </w:pPr>
      <w:r>
        <w:rPr>
          <w:rFonts w:hint="eastAsia" w:ascii="Times New Roman" w:hAnsi="Times New Roman"/>
          <w:b w:val="0"/>
          <w:sz w:val="24"/>
          <w:lang w:val="en-US" w:eastAsia="zh-CN"/>
        </w:rPr>
        <w:t>第二、</w:t>
      </w:r>
      <w:r>
        <w:rPr>
          <w:rFonts w:ascii="Times New Roman" w:hAnsi="Times New Roman" w:eastAsia="宋体"/>
          <w:b w:val="0"/>
          <w:sz w:val="24"/>
        </w:rPr>
        <w:t>改进路径要遵循"先诊断后开方、先排序后实施"的科学逻辑。流程优化的资源（时间、预算、管理注意力）是有限的，面面俱到的"全面改进"往往导致资源分散</w:t>
      </w:r>
      <w:r>
        <w:rPr>
          <w:rFonts w:hint="eastAsia" w:ascii="Times New Roman" w:hAnsi="Times New Roman"/>
          <w:b w:val="0"/>
          <w:sz w:val="24"/>
          <w:lang w:val="en-US" w:eastAsia="zh-CN"/>
        </w:rPr>
        <w:t>。</w:t>
      </w:r>
      <w:r>
        <w:rPr>
          <w:rFonts w:hint="eastAsia" w:ascii="Times New Roman" w:hAnsi="Times New Roman"/>
          <w:b w:val="0"/>
          <w:sz w:val="24"/>
          <w:lang w:val="en-US" w:eastAsia="zh-CN"/>
        </w:rPr>
        <w:t>时间</w:t>
      </w:r>
      <w:r>
        <w:rPr>
          <w:rFonts w:hint="eastAsia" w:ascii="Times New Roman" w:hAnsi="Times New Roman"/>
          <w:b w:val="0"/>
          <w:sz w:val="24"/>
          <w:lang w:val="en-US" w:eastAsia="zh-CN"/>
        </w:rPr>
        <w:t>紧张</w:t>
      </w:r>
      <w:r>
        <w:rPr>
          <w:rFonts w:hint="eastAsia" w:ascii="Times New Roman" w:hAnsi="Times New Roman"/>
          <w:b w:val="0"/>
          <w:sz w:val="24"/>
          <w:lang w:val="en-US" w:eastAsia="zh-CN"/>
        </w:rPr>
        <w:t>、</w:t>
      </w:r>
      <w:r>
        <w:rPr>
          <w:rFonts w:hint="eastAsia" w:ascii="Times New Roman" w:hAnsi="Times New Roman"/>
          <w:b w:val="0"/>
          <w:sz w:val="24"/>
          <w:lang w:val="en-US" w:eastAsia="zh-CN"/>
        </w:rPr>
        <w:t>系统</w:t>
      </w:r>
      <w:r>
        <w:rPr>
          <w:rFonts w:hint="eastAsia" w:ascii="Times New Roman" w:hAnsi="Times New Roman"/>
          <w:b w:val="0"/>
          <w:sz w:val="24"/>
          <w:lang w:val="en-US" w:eastAsia="zh-CN"/>
        </w:rPr>
        <w:t>可用性</w:t>
      </w:r>
      <w:r>
        <w:rPr>
          <w:rFonts w:hint="eastAsia" w:ascii="Times New Roman" w:hAnsi="Times New Roman"/>
          <w:b w:val="0"/>
          <w:sz w:val="24"/>
          <w:lang w:val="en-US" w:eastAsia="zh-CN"/>
        </w:rPr>
        <w:t>风险</w:t>
      </w:r>
      <w:r>
        <w:rPr>
          <w:rFonts w:hint="eastAsia" w:ascii="Times New Roman" w:hAnsi="Times New Roman"/>
          <w:b w:val="0"/>
          <w:sz w:val="24"/>
          <w:lang w:val="en-US" w:eastAsia="zh-CN"/>
        </w:rPr>
        <w:t>升高</w:t>
      </w:r>
      <w:r>
        <w:rPr>
          <w:rFonts w:ascii="Times New Roman" w:hAnsi="Times New Roman" w:eastAsia="宋体"/>
          <w:b w:val="0"/>
          <w:sz w:val="24"/>
        </w:rPr>
        <w:t>。AHP方法帮助管理者在多个备选改进项中进行系统比较和优先级排序，确保有限的资源集中投入到效果最大化的领域。建议管理者在面对多选项的流程改进决策时，采用AHP或类似的系统化评价方法替代主观拍板，提高决策的科学性和透明性。</w:t>
      </w:r>
    </w:p>
    <w:p w14:paraId="553705FC">
      <w:pPr>
        <w:spacing w:before="0" w:after="0" w:line="400" w:lineRule="exact"/>
        <w:ind w:firstLine="480"/>
        <w:jc w:val="both"/>
      </w:pPr>
      <w:r>
        <w:rPr>
          <w:rFonts w:hint="eastAsia" w:ascii="Times New Roman" w:hAnsi="Times New Roman"/>
          <w:b w:val="0"/>
          <w:sz w:val="24"/>
          <w:lang w:val="en-US" w:eastAsia="zh-CN"/>
        </w:rPr>
        <w:t>第三</w:t>
      </w:r>
      <w:r>
        <w:rPr>
          <w:rFonts w:hint="eastAsia" w:ascii="Times New Roman" w:hAnsi="Times New Roman"/>
          <w:b w:val="0"/>
          <w:sz w:val="24"/>
          <w:lang w:val="en-US" w:eastAsia="zh-CN"/>
        </w:rPr>
        <w:t>、</w:t>
      </w:r>
      <w:r>
        <w:rPr>
          <w:rFonts w:ascii="Times New Roman" w:hAnsi="Times New Roman" w:eastAsia="宋体"/>
          <w:b w:val="0"/>
          <w:sz w:val="24"/>
        </w:rPr>
        <w:t>方案设计要追求"系统化"而非"运动式"的改进。</w:t>
      </w:r>
      <w:r>
        <w:rPr>
          <w:rFonts w:hint="eastAsia" w:ascii="Times New Roman" w:hAnsi="Times New Roman"/>
          <w:b w:val="0"/>
          <w:sz w:val="24"/>
          <w:lang w:val="en-US" w:eastAsia="zh-CN"/>
        </w:rPr>
        <w:t>无法</w:t>
      </w:r>
      <w:r>
        <w:rPr>
          <w:rFonts w:hint="eastAsia" w:ascii="Times New Roman" w:hAnsi="Times New Roman"/>
          <w:b w:val="0"/>
          <w:sz w:val="24"/>
          <w:lang w:val="en-US" w:eastAsia="zh-CN"/>
        </w:rPr>
        <w:t>量化</w:t>
      </w:r>
      <w:r>
        <w:rPr>
          <w:rFonts w:hint="eastAsia" w:ascii="Times New Roman" w:hAnsi="Times New Roman"/>
          <w:b w:val="0"/>
          <w:sz w:val="24"/>
          <w:lang w:val="en-US" w:eastAsia="zh-CN"/>
        </w:rPr>
        <w:t>的</w:t>
      </w:r>
      <w:r>
        <w:rPr>
          <w:rFonts w:ascii="Times New Roman" w:hAnsi="Times New Roman" w:eastAsia="宋体"/>
          <w:b w:val="0"/>
          <w:sz w:val="24"/>
        </w:rPr>
        <w:t>管理指令（如"加强检查科室的服务意识"</w:t>
      </w:r>
      <w:r>
        <w:rPr>
          <w:rFonts w:hint="eastAsia" w:ascii="Times New Roman" w:hAnsi="Times New Roman"/>
          <w:b w:val="0"/>
          <w:sz w:val="24"/>
          <w:lang w:eastAsia="zh-CN"/>
        </w:rPr>
        <w:t>、</w:t>
      </w:r>
      <w:r>
        <w:rPr>
          <w:rFonts w:ascii="Times New Roman" w:hAnsi="Times New Roman" w:eastAsia="宋体"/>
          <w:b w:val="0"/>
          <w:sz w:val="24"/>
        </w:rPr>
        <w:t>"要求医生提高接诊速度"</w:t>
      </w:r>
      <w:r>
        <w:rPr>
          <w:rFonts w:hint="eastAsia" w:ascii="Times New Roman" w:hAnsi="Times New Roman"/>
          <w:b w:val="0"/>
          <w:sz w:val="24"/>
          <w:lang w:val="en-US" w:eastAsia="zh-CN"/>
        </w:rPr>
        <w:t>等</w:t>
      </w:r>
      <w:r>
        <w:rPr>
          <w:rFonts w:ascii="Times New Roman" w:hAnsi="Times New Roman" w:eastAsia="宋体"/>
          <w:b w:val="0"/>
          <w:sz w:val="24"/>
        </w:rPr>
        <w:t>）虽然实施起来简单直接，但其效果的持续性和可复制性较差。相比之下，将流程改进嵌入到信息系统的技术架构中</w:t>
      </w:r>
      <w:r>
        <w:rPr>
          <w:rFonts w:hint="eastAsia" w:ascii="Times New Roman" w:hAnsi="Times New Roman"/>
          <w:b w:val="0"/>
          <w:sz w:val="24"/>
          <w:lang w:eastAsia="zh-CN"/>
        </w:rPr>
        <w:t>，</w:t>
      </w:r>
      <w:r>
        <w:rPr>
          <w:rFonts w:ascii="Times New Roman" w:hAnsi="Times New Roman" w:eastAsia="宋体"/>
          <w:b w:val="0"/>
          <w:sz w:val="24"/>
        </w:rPr>
        <w:t>如本研究中的统一检查预约资源池、跨院区主数据管理和实时数据同步</w:t>
      </w:r>
      <w:r>
        <w:rPr>
          <w:rFonts w:hint="eastAsia" w:ascii="Times New Roman" w:hAnsi="Times New Roman"/>
          <w:b w:val="0"/>
          <w:sz w:val="24"/>
          <w:lang w:eastAsia="zh-CN"/>
        </w:rPr>
        <w:t>，</w:t>
      </w:r>
      <w:r>
        <w:rPr>
          <w:rFonts w:ascii="Times New Roman" w:hAnsi="Times New Roman" w:eastAsia="宋体"/>
          <w:b w:val="0"/>
          <w:sz w:val="24"/>
        </w:rPr>
        <w:t>能够让优化后的流程成为系统运行的"默认状态"，效果更为持久和可推广。建议管理者在推进流程优化时，优先考虑能够通过系统改造固化下来的改进方案。</w:t>
      </w:r>
    </w:p>
    <w:p w14:paraId="44B4EE19">
      <w:pPr>
        <w:spacing w:before="0" w:after="0" w:line="400" w:lineRule="exact"/>
        <w:ind w:firstLine="480"/>
        <w:jc w:val="both"/>
      </w:pPr>
      <w:r>
        <w:rPr>
          <w:rFonts w:hint="eastAsia" w:ascii="Times New Roman" w:hAnsi="Times New Roman"/>
          <w:b w:val="0"/>
          <w:sz w:val="24"/>
          <w:lang w:val="en-US" w:eastAsia="zh-CN"/>
        </w:rPr>
        <w:t>第四、</w:t>
      </w:r>
      <w:r>
        <w:rPr>
          <w:rFonts w:ascii="Times New Roman" w:hAnsi="Times New Roman" w:eastAsia="宋体"/>
          <w:b w:val="0"/>
          <w:sz w:val="24"/>
        </w:rPr>
        <w:t>多院区管理宜采取"先标准化后协同化"的推进策略。多院区协同的前提是各院区在数据标准和服务标准上的基本统一。在标准不统一的情况下急于推进协同，往往会导致更多的混乱和返工。本研究识别出的诸多协同障碍正是标准缺位的直接后果：各院区HIS系统版本异构</w:t>
      </w:r>
      <w:r>
        <w:rPr>
          <w:rFonts w:ascii="Times New Roman" w:hAnsi="Times New Roman" w:eastAsia="宋体"/>
          <w:b w:val="0"/>
          <w:sz w:val="24"/>
        </w:rPr>
        <w:t>、患者标识符与药品检查编码体系互不统一、在线问诊接诊时长和处方开具率等执行口径不一致、</w:t>
      </w:r>
      <w:r>
        <w:rPr>
          <w:rFonts w:ascii="Times New Roman" w:hAnsi="Times New Roman" w:eastAsia="宋体"/>
          <w:b w:val="0"/>
          <w:sz w:val="24"/>
        </w:rPr>
        <w:t>处方审核耗时波动大（标准差达15.3分钟）等。建议集团管理层首先逐项推动各院区在数据接口标准、服务时限标准和处方审核标准等方面的统一，在此基础上再推进跨院区的资源调度和协同服务。</w:t>
      </w:r>
    </w:p>
    <w:p w14:paraId="1894D8D8">
      <w:pPr>
        <w:spacing w:before="0" w:after="0" w:line="400" w:lineRule="exact"/>
        <w:ind w:firstLine="480"/>
        <w:jc w:val="both"/>
      </w:pPr>
      <w:r>
        <w:rPr>
          <w:rFonts w:hint="eastAsia" w:ascii="Times New Roman" w:hAnsi="Times New Roman"/>
          <w:b w:val="0"/>
          <w:sz w:val="24"/>
          <w:lang w:val="en-US" w:eastAsia="zh-CN"/>
        </w:rPr>
        <w:t>第五</w:t>
      </w:r>
      <w:r>
        <w:rPr>
          <w:rFonts w:hint="eastAsia" w:ascii="Times New Roman" w:hAnsi="Times New Roman"/>
          <w:b w:val="0"/>
          <w:sz w:val="24"/>
          <w:lang w:val="en-US" w:eastAsia="zh-CN"/>
        </w:rPr>
        <w:t>、</w:t>
      </w:r>
      <w:r>
        <w:rPr>
          <w:rFonts w:ascii="Times New Roman" w:hAnsi="Times New Roman" w:eastAsia="宋体"/>
          <w:b w:val="0"/>
          <w:sz w:val="24"/>
        </w:rPr>
        <w:t>组织文化上要培育"数据驱动持续改进"的习惯。流程优化不是一次性的项目，而是一种持续的组织能力。本研究提出的"数据诊断→方案调整→效果验证→再优化"的PDCA循环，需要嵌入到组织的日常管理节奏中。建议管理者建立月度流程运行数据分析制度，对流程效率指标进行定期对标和趋势跟踪，将数据驱动的持续改进内化为组织的管理文化。</w:t>
      </w:r>
    </w:p>
    <w:p w14:paraId="46BE365A">
      <w:pPr>
        <w:spacing w:before="480" w:after="120" w:line="240" w:lineRule="auto"/>
        <w:jc w:val="center"/>
        <w:outlineLvl w:val="1"/>
      </w:pPr>
      <w:bookmarkStart w:id="81" w:name="_Toc27188"/>
      <w:r>
        <w:rPr>
          <w:rFonts w:ascii="Times New Roman" w:hAnsi="Times New Roman" w:eastAsia="黑体"/>
          <w:b/>
          <w:sz w:val="28"/>
        </w:rPr>
        <w:t>第三节　研究局限与未来展望</w:t>
      </w:r>
      <w:bookmarkEnd w:id="81"/>
    </w:p>
    <w:p w14:paraId="0E711465">
      <w:pPr>
        <w:spacing w:before="240" w:after="120" w:line="240" w:lineRule="auto"/>
        <w:ind w:firstLine="520"/>
        <w:outlineLvl w:val="2"/>
      </w:pPr>
      <w:bookmarkStart w:id="82" w:name="_Toc16411"/>
      <w:r>
        <w:rPr>
          <w:rFonts w:ascii="Times New Roman" w:hAnsi="Times New Roman" w:eastAsia="黑体"/>
          <w:b/>
          <w:sz w:val="26"/>
        </w:rPr>
        <w:t>一、研究局限</w:t>
      </w:r>
      <w:bookmarkEnd w:id="82"/>
    </w:p>
    <w:p w14:paraId="5B412458">
      <w:pPr>
        <w:spacing w:before="0" w:after="0" w:line="400" w:lineRule="exact"/>
        <w:ind w:firstLine="480"/>
        <w:jc w:val="both"/>
      </w:pPr>
      <w:r>
        <w:rPr>
          <w:rFonts w:hint="eastAsia" w:ascii="Times New Roman" w:hAnsi="Times New Roman"/>
          <w:b w:val="0"/>
          <w:sz w:val="24"/>
          <w:lang w:val="en-US" w:eastAsia="zh-CN"/>
        </w:rPr>
        <w:t>尽管</w:t>
      </w:r>
      <w:r>
        <w:rPr>
          <w:rFonts w:hint="eastAsia" w:ascii="Times New Roman" w:hAnsi="Times New Roman"/>
          <w:b w:val="0"/>
          <w:sz w:val="24"/>
          <w:lang w:val="en-US" w:eastAsia="zh-CN"/>
        </w:rPr>
        <w:t>本</w:t>
      </w:r>
      <w:r>
        <w:rPr>
          <w:rFonts w:hint="eastAsia" w:ascii="Times New Roman" w:hAnsi="Times New Roman"/>
          <w:b w:val="0"/>
          <w:sz w:val="24"/>
          <w:lang w:val="en-US" w:eastAsia="zh-CN"/>
        </w:rPr>
        <w:t>研究在</w:t>
      </w:r>
      <w:r>
        <w:rPr>
          <w:rFonts w:ascii="Times New Roman" w:hAnsi="Times New Roman" w:eastAsia="宋体"/>
          <w:b w:val="0"/>
          <w:sz w:val="24"/>
        </w:rPr>
        <w:t>方法论和实践应用上</w:t>
      </w:r>
      <w:r>
        <w:rPr>
          <w:rFonts w:hint="eastAsia" w:ascii="Times New Roman" w:hAnsi="Times New Roman"/>
          <w:b w:val="0"/>
          <w:sz w:val="24"/>
          <w:lang w:val="en-US" w:eastAsia="zh-CN"/>
        </w:rPr>
        <w:t>取得了</w:t>
      </w:r>
      <w:r>
        <w:rPr>
          <w:rFonts w:hint="eastAsia" w:ascii="Times New Roman" w:hAnsi="Times New Roman"/>
          <w:b w:val="0"/>
          <w:sz w:val="24"/>
          <w:lang w:val="en-US" w:eastAsia="zh-CN"/>
        </w:rPr>
        <w:t>一定</w:t>
      </w:r>
      <w:r>
        <w:rPr>
          <w:rFonts w:hint="eastAsia" w:ascii="Times New Roman" w:hAnsi="Times New Roman"/>
          <w:b w:val="0"/>
          <w:sz w:val="24"/>
          <w:lang w:val="en-US" w:eastAsia="zh-CN"/>
        </w:rPr>
        <w:t>的</w:t>
      </w:r>
      <w:r>
        <w:rPr>
          <w:rFonts w:ascii="Times New Roman" w:hAnsi="Times New Roman" w:eastAsia="宋体"/>
          <w:b w:val="0"/>
          <w:sz w:val="24"/>
        </w:rPr>
        <w:t>成果</w:t>
      </w:r>
      <w:r>
        <w:rPr>
          <w:rFonts w:ascii="Times New Roman" w:hAnsi="Times New Roman" w:eastAsia="宋体"/>
          <w:b w:val="0"/>
          <w:sz w:val="24"/>
        </w:rPr>
        <w:t>，</w:t>
      </w:r>
      <w:r>
        <w:rPr>
          <w:rFonts w:hint="eastAsia" w:ascii="Times New Roman" w:hAnsi="Times New Roman"/>
          <w:b w:val="0"/>
          <w:sz w:val="24"/>
          <w:lang w:val="en-US" w:eastAsia="zh-CN"/>
        </w:rPr>
        <w:t>但</w:t>
      </w:r>
      <w:r>
        <w:rPr>
          <w:rFonts w:hint="eastAsia" w:ascii="Times New Roman" w:hAnsi="Times New Roman"/>
          <w:b w:val="0"/>
          <w:sz w:val="24"/>
          <w:lang w:val="en-US" w:eastAsia="zh-CN"/>
        </w:rPr>
        <w:t>仍</w:t>
      </w:r>
      <w:r>
        <w:rPr>
          <w:rFonts w:hint="eastAsia" w:ascii="Times New Roman" w:hAnsi="Times New Roman"/>
          <w:b w:val="0"/>
          <w:sz w:val="24"/>
          <w:lang w:val="en-US" w:eastAsia="zh-CN"/>
        </w:rPr>
        <w:t>存在</w:t>
      </w:r>
      <w:r>
        <w:rPr>
          <w:rFonts w:hint="eastAsia" w:ascii="Times New Roman" w:hAnsi="Times New Roman"/>
          <w:b w:val="0"/>
          <w:sz w:val="24"/>
          <w:lang w:val="en-US" w:eastAsia="zh-CN"/>
        </w:rPr>
        <w:t>以下</w:t>
      </w:r>
      <w:r>
        <w:rPr>
          <w:rFonts w:ascii="Times New Roman" w:hAnsi="Times New Roman" w:eastAsia="宋体"/>
          <w:b w:val="0"/>
          <w:sz w:val="24"/>
        </w:rPr>
        <w:t>几处局限</w:t>
      </w:r>
      <w:r>
        <w:rPr>
          <w:rFonts w:hint="eastAsia" w:ascii="Times New Roman" w:hAnsi="Times New Roman"/>
          <w:b w:val="0"/>
          <w:sz w:val="24"/>
          <w:lang w:val="en-US" w:eastAsia="zh-CN"/>
        </w:rPr>
        <w:t>性</w:t>
      </w:r>
      <w:r>
        <w:rPr>
          <w:rFonts w:ascii="Times New Roman" w:hAnsi="Times New Roman" w:eastAsia="宋体"/>
          <w:b w:val="0"/>
          <w:sz w:val="24"/>
        </w:rPr>
        <w:t>。</w:t>
      </w:r>
    </w:p>
    <w:p w14:paraId="2CBC0E60">
      <w:pPr>
        <w:spacing w:before="0" w:after="0" w:line="400" w:lineRule="exact"/>
        <w:ind w:firstLine="480"/>
        <w:jc w:val="both"/>
      </w:pPr>
      <w:r>
        <w:rPr>
          <w:rFonts w:ascii="Times New Roman" w:hAnsi="Times New Roman" w:eastAsia="宋体"/>
          <w:b w:val="0"/>
          <w:sz w:val="24"/>
        </w:rPr>
        <w:t>局限一：数据完整性。本研究的过程分析法分析依赖于</w:t>
      </w:r>
      <w:r>
        <w:rPr>
          <w:rFonts w:hint="eastAsia" w:ascii="Times New Roman" w:hAnsi="Times New Roman"/>
          <w:b w:val="0"/>
          <w:sz w:val="24"/>
          <w:lang w:val="en-US" w:eastAsia="zh-CN"/>
        </w:rPr>
        <w:t>A医药集团统一管理平台</w:t>
      </w:r>
      <w:r>
        <w:rPr>
          <w:rFonts w:hint="eastAsia" w:ascii="Times New Roman" w:hAnsi="Times New Roman"/>
          <w:b w:val="0"/>
          <w:sz w:val="24"/>
          <w:lang w:val="en-US" w:eastAsia="zh-CN"/>
        </w:rPr>
        <w:t/>
      </w:r>
      <w:r>
        <w:rPr>
          <w:rFonts w:hint="eastAsia" w:ascii="Times New Roman" w:hAnsi="Times New Roman"/>
          <w:b w:val="0"/>
          <w:sz w:val="24"/>
          <w:lang w:val="en-US" w:eastAsia="zh-CN"/>
        </w:rPr>
        <w:t/>
      </w:r>
      <w:r>
        <w:rPr>
          <w:rFonts w:ascii="Times New Roman" w:hAnsi="Times New Roman" w:eastAsia="宋体"/>
          <w:b w:val="0"/>
          <w:sz w:val="24"/>
        </w:rPr>
        <w:t>的事件日志数据，但这些日志数据主要记录了业务流程中的"可数字化"环节（如问诊申请、处方开具、检查预约等），对于一些"非数字化"的环节（如患者在检查科室的实际等待、药品配送中物流</w:t>
      </w:r>
      <w:r>
        <w:rPr>
          <w:rFonts w:ascii="Times New Roman" w:hAnsi="Times New Roman" w:eastAsia="宋体"/>
          <w:b w:val="0"/>
          <w:sz w:val="24"/>
        </w:rPr>
        <w:t>的实际运行状态等），事件日志可能无法提供完整的记录。此外，由于本研究采用的事件日志数据集截至2026年5月</w:t>
      </w:r>
      <w:r>
        <w:rPr>
          <w:rFonts w:ascii="Times New Roman" w:hAnsi="Times New Roman" w:eastAsia="宋体"/>
          <w:b w:val="0"/>
          <w:sz w:val="24"/>
          <w:highlight w:val="yellow"/>
        </w:rPr>
        <w:t/>
      </w:r>
      <w:r>
        <w:rPr>
          <w:rFonts w:ascii="Times New Roman" w:hAnsi="Times New Roman" w:eastAsia="宋体"/>
          <w:b w:val="0"/>
          <w:sz w:val="24"/>
        </w:rPr>
        <w:t>，试点</w:t>
      </w:r>
      <w:r>
        <w:rPr>
          <w:rFonts w:ascii="Times New Roman" w:hAnsi="Times New Roman" w:eastAsia="宋体"/>
          <w:b w:val="0"/>
          <w:sz w:val="24"/>
          <w:highlight w:val="yellow"/>
        </w:rPr>
        <w:t>验证的后测期（2026年3月至5月）</w:t>
      </w:r>
      <w:r>
        <w:rPr>
          <w:rFonts w:ascii="Times New Roman" w:hAnsi="Times New Roman" w:eastAsia="宋体"/>
          <w:b w:val="0"/>
          <w:sz w:val="24"/>
        </w:rPr>
        <w:t>数据在准实验分析中仅覆盖了三个月的短期效果，优化方案的长期效果（如对患者复诊转化率、慢病管理依从性等慢变量的影响）尚需更长时间的追踪数据来验证。</w:t>
      </w:r>
    </w:p>
    <w:p w14:paraId="021712B8">
      <w:pPr>
        <w:spacing w:before="0" w:after="0" w:line="400" w:lineRule="exact"/>
        <w:ind w:firstLine="480"/>
        <w:jc w:val="both"/>
      </w:pPr>
      <w:r>
        <w:rPr>
          <w:rFonts w:ascii="Times New Roman" w:hAnsi="Times New Roman" w:eastAsia="宋体"/>
          <w:b w:val="0"/>
          <w:sz w:val="24"/>
        </w:rPr>
        <w:t>局限二：单案例研究的推广性。本研究以A医药集团互联网医院为单一案例，虽然该案例在"医药集团+多院区"的复杂服务场景中具有一定的代表性，但不同医药集团在组织规模、技术基础、管理文化和市场环境等方面存在差异，本研究的发现和优化方案的普适性需要在更多案例中进行验证。特别是试点院区（医院A）是集团的</w:t>
      </w:r>
      <w:r>
        <w:rPr>
          <w:rFonts w:hint="eastAsia" w:ascii="Times New Roman" w:hAnsi="Times New Roman"/>
          <w:b w:val="0"/>
          <w:sz w:val="24"/>
          <w:lang w:eastAsia="zh-CN"/>
        </w:rPr>
        <w:t>标杆医院</w:t>
      </w:r>
      <w:r>
        <w:rPr>
          <w:rFonts w:ascii="Times New Roman" w:hAnsi="Times New Roman" w:eastAsia="宋体"/>
          <w:b w:val="0"/>
          <w:sz w:val="24"/>
        </w:rPr>
        <w:t>，其技术基础和管理配合度在集团内是最优的，在技术基础较弱的院区推广时可能面临不同的挑战。</w:t>
      </w:r>
    </w:p>
    <w:p w14:paraId="003F6EA2">
      <w:pPr>
        <w:spacing w:before="0" w:after="0" w:line="400" w:lineRule="exact"/>
        <w:ind w:firstLine="480"/>
        <w:jc w:val="both"/>
      </w:pPr>
      <w:r>
        <w:rPr>
          <w:rFonts w:ascii="Times New Roman" w:hAnsi="Times New Roman" w:eastAsia="宋体"/>
          <w:b w:val="0"/>
          <w:sz w:val="24"/>
        </w:rPr>
        <w:t>局限三：准实验设计的因果推断。本研究采用准实验的</w:t>
      </w:r>
      <w:r>
        <w:rPr>
          <w:rFonts w:ascii="Times New Roman" w:hAnsi="Times New Roman" w:eastAsia="宋体"/>
          <w:b w:val="0"/>
          <w:sz w:val="24"/>
          <w:highlight w:val="yellow"/>
        </w:rPr>
        <w:t>非等组设计</w:t>
      </w:r>
      <w:r>
        <w:rPr>
          <w:rFonts w:ascii="Times New Roman" w:hAnsi="Times New Roman" w:eastAsia="宋体"/>
          <w:b w:val="0"/>
          <w:sz w:val="24"/>
        </w:rPr>
        <w:t>，虽然通过</w:t>
      </w:r>
      <w:r>
        <w:rPr>
          <w:rFonts w:ascii="Times New Roman" w:hAnsi="Times New Roman" w:eastAsia="宋体"/>
          <w:b w:val="0"/>
          <w:sz w:val="24"/>
          <w:highlight w:val="yellow"/>
        </w:rPr>
        <w:t>双重差分法（DID）</w:t>
      </w:r>
      <w:r>
        <w:rPr>
          <w:rFonts w:ascii="Times New Roman" w:hAnsi="Times New Roman" w:eastAsia="宋体"/>
          <w:b w:val="0"/>
          <w:sz w:val="24"/>
        </w:rPr>
        <w:t>在一定程度上控制了时间趋势和共同因素的影响，但由于无法进行严格的随机分配，实验组（医院A）和对照组（医院B）在不可观测特征上可能存在差异，这些差异可能导致对优化方案净效果的估计存在偏差。此外，三个月的后测期对于某些渐进性的效果（如患者口碑传播和长期复诊行为的变化）可能不够长。</w:t>
      </w:r>
    </w:p>
    <w:p w14:paraId="77528428">
      <w:pPr>
        <w:spacing w:before="0" w:after="0" w:line="400" w:lineRule="exact"/>
        <w:ind w:firstLine="480"/>
        <w:jc w:val="both"/>
      </w:pPr>
      <w:r>
        <w:rPr>
          <w:rFonts w:ascii="Times New Roman" w:hAnsi="Times New Roman" w:eastAsia="宋体"/>
          <w:b w:val="0"/>
          <w:sz w:val="24"/>
        </w:rPr>
        <w:t>局限四：AHP判断矩阵的主观性。本研究的AHP判断矩阵中的标度赋值基于研究者的技术判断，虽然在一致性检验中通过了</w:t>
      </w:r>
      <w:r>
        <w:rPr>
          <w:rFonts w:ascii="Times New Roman" w:hAnsi="Times New Roman" w:eastAsia="宋体"/>
          <w:b w:val="0"/>
          <w:sz w:val="24"/>
          <w:highlight w:val="yellow"/>
        </w:rPr>
        <w:t>CR &lt; 0.10的标准</w:t>
      </w:r>
      <w:r>
        <w:rPr>
          <w:rFonts w:ascii="Times New Roman" w:hAnsi="Times New Roman" w:eastAsia="宋体"/>
          <w:b w:val="0"/>
          <w:sz w:val="24"/>
        </w:rPr>
        <w:t>，但不同评价者（如不同院区的管理者、不同专业的医生）对同一组因素的两两比较可能存在差异。在实际管理应用中，建议通过多专家群体决策的方式来降低单个评价者主观偏差的影响。</w:t>
      </w:r>
    </w:p>
    <w:p w14:paraId="256EA515">
      <w:pPr>
        <w:spacing w:before="0" w:after="0" w:line="400" w:lineRule="exact"/>
        <w:ind w:firstLine="480"/>
        <w:jc w:val="both"/>
      </w:pPr>
      <w:r>
        <w:rPr>
          <w:rFonts w:ascii="Times New Roman" w:hAnsi="Times New Roman" w:eastAsia="宋体"/>
          <w:b w:val="0"/>
          <w:sz w:val="24"/>
        </w:rPr>
        <w:t>局限五：AI辅助方法的伦理和合规。本研究采用了AI辅助方法（如AI智能审方引擎），但AI系统在医疗领域的应用受到严格的监管和伦理约束。AI辅助不等于AI替代</w:t>
      </w:r>
      <w:r>
        <w:rPr>
          <w:rFonts w:hint="eastAsia" w:ascii="Times New Roman" w:hAnsi="Times New Roman"/>
          <w:b w:val="0"/>
          <w:sz w:val="24"/>
          <w:lang w:eastAsia="zh-CN"/>
        </w:rPr>
        <w:t>，</w:t>
      </w:r>
      <w:r>
        <w:rPr>
          <w:rFonts w:ascii="Times New Roman" w:hAnsi="Times New Roman" w:eastAsia="宋体"/>
          <w:b w:val="0"/>
          <w:sz w:val="24"/>
        </w:rPr>
        <w:t>最终的诊疗决策仍需由具有执业资质的医生做出，AI仅作为辅助工具提供参考。在使用AI辅助方法进行研究时，需要充分披露AI的使用边界和局限性。</w:t>
      </w:r>
    </w:p>
    <w:p w14:paraId="096C523C">
      <w:pPr>
        <w:spacing w:before="240" w:after="120" w:line="240" w:lineRule="auto"/>
        <w:ind w:firstLine="520"/>
        <w:outlineLvl w:val="2"/>
      </w:pPr>
      <w:bookmarkStart w:id="83" w:name="_Toc2894"/>
      <w:r>
        <w:rPr>
          <w:rFonts w:ascii="Times New Roman" w:hAnsi="Times New Roman" w:eastAsia="黑体"/>
          <w:b/>
          <w:sz w:val="26"/>
        </w:rPr>
        <w:t>二、未来展望</w:t>
      </w:r>
      <w:bookmarkEnd w:id="83"/>
    </w:p>
    <w:p w14:paraId="5AB7E67D">
      <w:pPr>
        <w:spacing w:before="0" w:after="0" w:line="400" w:lineRule="exact"/>
        <w:ind w:firstLine="480"/>
        <w:jc w:val="both"/>
      </w:pPr>
      <w:r>
        <w:rPr>
          <w:rFonts w:hint="eastAsia" w:ascii="Times New Roman" w:hAnsi="Times New Roman"/>
          <w:b w:val="0"/>
          <w:sz w:val="24"/>
          <w:lang w:val="en-US" w:eastAsia="zh-CN"/>
        </w:rPr>
        <w:t>基于</w:t>
      </w:r>
      <w:r>
        <w:rPr>
          <w:rFonts w:ascii="Times New Roman" w:hAnsi="Times New Roman" w:eastAsia="宋体"/>
          <w:b w:val="0"/>
          <w:sz w:val="24"/>
        </w:rPr>
        <w:t>这些发现和局限</w:t>
      </w:r>
      <w:r>
        <w:rPr>
          <w:rFonts w:hint="eastAsia" w:ascii="Times New Roman" w:hAnsi="Times New Roman"/>
          <w:b w:val="0"/>
          <w:sz w:val="24"/>
          <w:lang w:val="en-US" w:eastAsia="zh-CN"/>
        </w:rPr>
        <w:t>性</w:t>
      </w:r>
      <w:r>
        <w:rPr>
          <w:rFonts w:ascii="Times New Roman" w:hAnsi="Times New Roman" w:eastAsia="宋体"/>
          <w:b w:val="0"/>
          <w:sz w:val="24"/>
        </w:rPr>
        <w:t>，</w:t>
      </w:r>
      <w:r>
        <w:rPr>
          <w:rFonts w:hint="eastAsia" w:ascii="Times New Roman" w:hAnsi="Times New Roman"/>
          <w:b w:val="0"/>
          <w:sz w:val="24"/>
          <w:lang w:val="en-US" w:eastAsia="zh-CN"/>
        </w:rPr>
        <w:t>以下</w:t>
      </w:r>
      <w:r>
        <w:rPr>
          <w:rFonts w:ascii="Times New Roman" w:hAnsi="Times New Roman" w:eastAsia="宋体"/>
          <w:b w:val="0"/>
          <w:sz w:val="24"/>
        </w:rPr>
        <w:t>几个方向值得后续</w:t>
      </w:r>
      <w:r>
        <w:rPr>
          <w:rFonts w:ascii="Times New Roman" w:hAnsi="Times New Roman" w:eastAsia="宋体"/>
          <w:b w:val="0"/>
          <w:sz w:val="24"/>
        </w:rPr>
        <w:t>继续</w:t>
      </w:r>
      <w:r>
        <w:rPr>
          <w:rFonts w:hint="eastAsia" w:ascii="Times New Roman" w:hAnsi="Times New Roman"/>
          <w:b w:val="0"/>
          <w:sz w:val="24"/>
          <w:lang w:val="en-US" w:eastAsia="zh-CN"/>
        </w:rPr>
        <w:t>研究和</w:t>
      </w:r>
      <w:r>
        <w:rPr>
          <w:rFonts w:hint="eastAsia" w:ascii="Times New Roman" w:hAnsi="Times New Roman"/>
          <w:b w:val="0"/>
          <w:sz w:val="24"/>
          <w:lang w:val="en-US" w:eastAsia="zh-CN"/>
        </w:rPr>
        <w:t>探索</w:t>
      </w:r>
      <w:r>
        <w:rPr>
          <w:rFonts w:ascii="Times New Roman" w:hAnsi="Times New Roman" w:eastAsia="宋体"/>
          <w:b w:val="0"/>
          <w:sz w:val="24"/>
        </w:rPr>
        <w:t>。</w:t>
      </w:r>
    </w:p>
    <w:p w14:paraId="4B044E65">
      <w:pPr>
        <w:spacing w:before="0" w:after="0" w:line="400" w:lineRule="exact"/>
        <w:ind w:firstLine="480"/>
        <w:jc w:val="both"/>
      </w:pPr>
      <w:r>
        <w:rPr>
          <w:rFonts w:ascii="Times New Roman" w:hAnsi="Times New Roman" w:eastAsia="宋体"/>
          <w:b w:val="0"/>
          <w:sz w:val="24"/>
        </w:rPr>
        <w:t>方向一：AI驱动的流程自动化与智能化。随着自然语言处理（NLP）和大语言模型（LLM）技术的快速发展，未来的互联网医院流程优化有望从当前的"半自动化"（AI辅助诊断和决策、人工执行和确认）向"全智能化"（AI自动识别流程异常、自动生成优化建议、自动调整系统参数）升级。例如，AI可以在实时监测到某院区某科室的问诊排队超过阈值时，自动触发患者分流建议和临时增援排班，无需等待管理者的手动干预。这种从"被动响应"到"主动预防"的转变，是互联网医院智能运营管理的下一个前沿方向。</w:t>
      </w:r>
    </w:p>
    <w:p w14:paraId="1E4396D4">
      <w:pPr>
        <w:spacing w:before="0" w:after="0" w:line="400" w:lineRule="exact"/>
        <w:ind w:firstLine="480"/>
        <w:jc w:val="both"/>
      </w:pPr>
      <w:r>
        <w:rPr>
          <w:rFonts w:ascii="Times New Roman" w:hAnsi="Times New Roman" w:eastAsia="宋体"/>
          <w:b w:val="0"/>
          <w:sz w:val="24"/>
        </w:rPr>
        <w:t>方向二：多案例比较研究与大样本实证。未来研究可选取多个不同类型的互联网医院（平台型、医院自建型、医药集团型）进行比较研究，系统分析不同运营模式下流程优化的共性和差异。通过多案例比较，可以提炼出更具普适性的流程优化方法论框架，并识别不同组织情境下的关键权变因素。在有条件的情况下，可进行大样本的定量实证研究，对"过程分析法诊断能力—AHP优先级排序准确度—流程优化效果"之间的因果关系进行统计检验。</w:t>
      </w:r>
    </w:p>
    <w:p w14:paraId="3A355548">
      <w:pPr>
        <w:spacing w:before="0" w:after="0" w:line="400" w:lineRule="exact"/>
        <w:ind w:firstLine="480"/>
        <w:jc w:val="both"/>
      </w:pPr>
      <w:r>
        <w:rPr>
          <w:rFonts w:ascii="Times New Roman" w:hAnsi="Times New Roman" w:eastAsia="宋体"/>
          <w:b w:val="0"/>
          <w:sz w:val="24"/>
        </w:rPr>
        <w:t>方向三：长期效果追踪与ROI评估。未来研究可对优化方案的实施效果进行</w:t>
      </w:r>
      <w:r>
        <w:rPr>
          <w:rFonts w:hint="eastAsia" w:ascii="Times New Roman" w:hAnsi="Times New Roman"/>
          <w:b w:val="0"/>
          <w:sz w:val="24"/>
          <w:lang w:val="en-US" w:eastAsia="zh-CN"/>
        </w:rPr>
        <w:t>一年</w:t>
      </w:r>
      <w:r>
        <w:rPr>
          <w:rFonts w:hint="eastAsia" w:ascii="Times New Roman" w:hAnsi="Times New Roman"/>
          <w:b w:val="0"/>
          <w:sz w:val="24"/>
          <w:lang w:val="en-US" w:eastAsia="zh-CN"/>
        </w:rPr>
        <w:t>或</w:t>
      </w:r>
      <w:r>
        <w:rPr>
          <w:rFonts w:ascii="Times New Roman" w:hAnsi="Times New Roman" w:eastAsia="宋体"/>
          <w:b w:val="0"/>
          <w:sz w:val="24"/>
        </w:rPr>
        <w:t>更长时间窗口的追踪</w:t>
      </w:r>
      <w:r>
        <w:rPr>
          <w:rFonts w:ascii="Times New Roman" w:hAnsi="Times New Roman" w:eastAsia="宋体"/>
          <w:b w:val="0"/>
          <w:sz w:val="24"/>
        </w:rPr>
        <w:t>，评估优化效果的持续性和衰减模式。同时，可建立流程优化的投资回报率（ROI）评估模型，从经济角度量化流程优化方案的成本和收益（包括直接的运营成本节约和间接的患者满意度提升带来的品牌价值增量），为管理者的资源投入决策提供更为全面的经济分析依据。</w:t>
      </w:r>
    </w:p>
    <w:p w14:paraId="5092DD5C">
      <w:pPr>
        <w:spacing w:before="0" w:after="0" w:line="400" w:lineRule="exact"/>
        <w:ind w:firstLine="480"/>
        <w:jc w:val="both"/>
      </w:pPr>
      <w:r>
        <w:rPr>
          <w:rFonts w:ascii="Times New Roman" w:hAnsi="Times New Roman" w:eastAsia="宋体"/>
          <w:b w:val="0"/>
          <w:sz w:val="24"/>
        </w:rPr>
        <w:t>方向四：跨行业方法论迁移。本研究提出的"</w:t>
      </w:r>
      <w:r>
        <w:rPr>
          <w:rFonts w:hint="eastAsia" w:ascii="Times New Roman" w:hAnsi="Times New Roman"/>
          <w:b w:val="0"/>
          <w:sz w:val="24"/>
          <w:lang w:val="en-US" w:eastAsia="zh-CN"/>
        </w:rPr>
        <w:t xml:space="preserve">过程分析 </w:t>
      </w:r>
      <w:r>
        <w:rPr>
          <w:rFonts w:hint="eastAsia" w:ascii="Times New Roman" w:hAnsi="Times New Roman"/>
          <w:b w:val="0"/>
          <w:sz w:val="24"/>
          <w:lang w:val="en-US" w:eastAsia="zh-CN"/>
        </w:rPr>
        <w:t xml:space="preserve">    </w:t>
      </w:r>
      <w:r>
        <w:rPr>
          <w:rFonts w:hint="eastAsia" w:ascii="Times New Roman" w:hAnsi="Times New Roman"/>
          <w:b w:val="0"/>
          <w:sz w:val="24"/>
          <w:lang w:val="en-US" w:eastAsia="zh-CN"/>
        </w:rPr>
        <w:t xml:space="preserve"> </w:t>
      </w:r>
      <w:r>
        <w:rPr>
          <w:rFonts w:hint="eastAsia" w:ascii="Times New Roman" w:hAnsi="Times New Roman"/>
          <w:b w:val="0"/>
          <w:sz w:val="24"/>
          <w:lang w:val="en-US" w:eastAsia="zh-CN"/>
        </w:rPr>
        <w:t xml:space="preserve">     </w:t>
      </w:r>
      <w:r>
        <w:rPr>
          <w:rFonts w:hint="eastAsia" w:ascii="Times New Roman" w:hAnsi="Times New Roman"/>
          <w:b w:val="0"/>
          <w:sz w:val="24"/>
          <w:lang w:val="en-US" w:eastAsia="zh-CN"/>
        </w:rPr>
        <w:t xml:space="preserve"> </w:t>
      </w:r>
      <w:r>
        <w:rPr>
          <w:rFonts w:hint="eastAsia" w:ascii="Times New Roman" w:hAnsi="Times New Roman"/>
          <w:b w:val="0"/>
          <w:sz w:val="24"/>
          <w:lang w:val="en-US" w:eastAsia="zh-CN"/>
        </w:rPr>
        <w:t xml:space="preserve"> </w:t>
      </w:r>
      <w:r>
        <w:rPr>
          <w:rFonts w:ascii="Times New Roman" w:hAnsi="Times New Roman" w:eastAsia="宋体"/>
          <w:b w:val="0"/>
          <w:sz w:val="24"/>
        </w:rPr>
        <w:t>诊断→AHP排序→服务蓝图建模→准实验验证"四步方法论框架，不仅适用于互联网医院，也可尝试迁移至其他面临类似"多场所、多渠道、多系统"协同挑战的服务行业，如连锁零售、多网点金融服务、跨区域物流配送等。过程分析法在制造业、物流业等一般行业已形成成熟的方法体系与工具链（Van der Aalst, 2011；Berti等, 2019），这为本方法论框架向医疗以外行业的迁移提供了技术可行性基础。跨行业的方法论迁移研究将有助于检验和丰富该方法论框架的外部效度和适用范围。</w:t>
      </w:r>
    </w:p>
    <w:p w14:paraId="2C24725D">
      <w:pPr>
        <w:spacing w:before="0" w:after="0" w:line="400" w:lineRule="exact"/>
        <w:ind w:firstLine="480"/>
        <w:jc w:val="both"/>
      </w:pPr>
      <w:r>
        <w:rPr>
          <w:rFonts w:ascii="Times New Roman" w:hAnsi="Times New Roman" w:eastAsia="宋体"/>
          <w:b w:val="0"/>
          <w:sz w:val="24"/>
        </w:rPr>
        <w:t>方向五：患者隐私保护与数据安全治理。随着互联网医院数据驱动管理模式的深化，患者数据的采集、存储、分析和使用规模将持续扩大，数据安全和隐私保护的管理挑战也将更加突出。未来研究可关注在数据驱动流程优化的背景下，如何在数据利用效率和数据安全保护之间取得最优平衡，如何设计符合《个人信息保护法》和《数据安全法》要求的数据治理框架</w:t>
      </w:r>
      <w:r>
        <w:rPr>
          <w:rFonts w:hint="eastAsia" w:ascii="Times New Roman" w:hAnsi="Times New Roman"/>
          <w:b w:val="0"/>
          <w:sz w:val="24"/>
          <w:lang w:eastAsia="zh-CN"/>
        </w:rPr>
        <w:t>，</w:t>
      </w:r>
      <w:r>
        <w:rPr>
          <w:rFonts w:ascii="Times New Roman" w:hAnsi="Times New Roman" w:eastAsia="宋体"/>
          <w:b w:val="0"/>
          <w:sz w:val="24"/>
        </w:rPr>
        <w:t>在</w:t>
      </w:r>
      <w:r>
        <w:rPr>
          <w:rFonts w:hint="eastAsia" w:ascii="Times New Roman" w:hAnsi="Times New Roman"/>
          <w:b w:val="0"/>
          <w:sz w:val="24"/>
          <w:lang w:val="en-US" w:eastAsia="zh-CN"/>
        </w:rPr>
        <w:t>更好</w:t>
      </w:r>
      <w:r>
        <w:rPr>
          <w:rFonts w:hint="eastAsia" w:ascii="Times New Roman" w:hAnsi="Times New Roman"/>
          <w:b w:val="0"/>
          <w:sz w:val="24"/>
          <w:lang w:val="en-US" w:eastAsia="zh-CN"/>
        </w:rPr>
        <w:t>的</w:t>
      </w:r>
      <w:r>
        <w:rPr>
          <w:rFonts w:ascii="Times New Roman" w:hAnsi="Times New Roman" w:eastAsia="宋体"/>
          <w:b w:val="0"/>
          <w:sz w:val="24"/>
        </w:rPr>
        <w:t>保护患者隐私的前提下实现跨院区的</w:t>
      </w:r>
      <w:r>
        <w:rPr>
          <w:rFonts w:hint="eastAsia" w:ascii="Times New Roman" w:hAnsi="Times New Roman"/>
          <w:b w:val="0"/>
          <w:sz w:val="24"/>
          <w:lang w:val="en-US" w:eastAsia="zh-CN"/>
        </w:rPr>
        <w:t>全面</w:t>
      </w:r>
      <w:r>
        <w:rPr>
          <w:rFonts w:ascii="Times New Roman" w:hAnsi="Times New Roman" w:eastAsia="宋体"/>
          <w:b w:val="0"/>
          <w:sz w:val="24"/>
        </w:rPr>
        <w:t>数据协同分析。</w:t>
      </w:r>
    </w:p>
    <w:p w14:paraId="360FAE2B">
      <w:pPr>
        <w:spacing w:before="0" w:after="0" w:line="400" w:lineRule="exact"/>
        <w:ind w:firstLine="480"/>
        <w:jc w:val="both"/>
      </w:pPr>
      <w:r>
        <w:rPr>
          <w:rFonts w:hint="eastAsia" w:ascii="Times New Roman" w:hAnsi="Times New Roman"/>
          <w:b w:val="0"/>
          <w:sz w:val="24"/>
          <w:lang w:val="en-US" w:eastAsia="zh-CN"/>
        </w:rPr>
        <w:t>总之，</w:t>
      </w:r>
      <w:r>
        <w:rPr>
          <w:rFonts w:ascii="Times New Roman" w:hAnsi="Times New Roman" w:eastAsia="宋体"/>
          <w:b w:val="0"/>
          <w:sz w:val="24"/>
        </w:rPr>
        <w:t>互联网医院的服务流程优化</w:t>
      </w:r>
      <w:r>
        <w:rPr>
          <w:rFonts w:ascii="Times New Roman" w:hAnsi="Times New Roman" w:eastAsia="宋体"/>
          <w:b w:val="0"/>
          <w:sz w:val="24"/>
        </w:rPr>
        <w:t>是一个理论深度和实践价值兼备的研究领域。本研究以A医药集团为案例，迈出了把数据驱动的流程优化方法用于多院区互联网医院场景的第一步。</w:t>
      </w:r>
      <w:r>
        <w:rPr>
          <w:rFonts w:hint="eastAsia" w:ascii="Times New Roman" w:hAnsi="Times New Roman"/>
          <w:b w:val="0"/>
          <w:sz w:val="24"/>
          <w:lang w:val="en-US" w:eastAsia="zh-CN"/>
        </w:rPr>
        <w:t>随着</w:t>
      </w:r>
      <w:r>
        <w:rPr>
          <w:rFonts w:ascii="Times New Roman" w:hAnsi="Times New Roman" w:eastAsia="宋体"/>
          <w:b w:val="0"/>
          <w:sz w:val="24"/>
        </w:rPr>
        <w:t>技术</w:t>
      </w:r>
      <w:r>
        <w:rPr>
          <w:rFonts w:hint="eastAsia" w:ascii="Times New Roman" w:hAnsi="Times New Roman"/>
          <w:b w:val="0"/>
          <w:sz w:val="24"/>
          <w:lang w:val="en-US" w:eastAsia="zh-CN"/>
        </w:rPr>
        <w:t>的</w:t>
      </w:r>
      <w:r>
        <w:rPr>
          <w:rFonts w:ascii="Times New Roman" w:hAnsi="Times New Roman" w:eastAsia="宋体"/>
          <w:b w:val="0"/>
          <w:sz w:val="24"/>
        </w:rPr>
        <w:t>进步，数据资产</w:t>
      </w:r>
      <w:r>
        <w:rPr>
          <w:rFonts w:hint="eastAsia" w:ascii="Times New Roman" w:hAnsi="Times New Roman"/>
          <w:b w:val="0"/>
          <w:sz w:val="24"/>
          <w:lang w:val="en-US" w:eastAsia="zh-CN"/>
        </w:rPr>
        <w:t>的</w:t>
      </w:r>
      <w:r>
        <w:rPr>
          <w:rFonts w:ascii="Times New Roman" w:hAnsi="Times New Roman" w:eastAsia="宋体"/>
          <w:b w:val="0"/>
          <w:sz w:val="24"/>
        </w:rPr>
        <w:t>积累，管理实践</w:t>
      </w:r>
      <w:r>
        <w:rPr>
          <w:rFonts w:hint="eastAsia" w:ascii="Times New Roman" w:hAnsi="Times New Roman"/>
          <w:b w:val="0"/>
          <w:sz w:val="24"/>
          <w:lang w:val="en-US" w:eastAsia="zh-CN"/>
        </w:rPr>
        <w:t>的</w:t>
      </w:r>
      <w:r>
        <w:rPr>
          <w:rFonts w:hint="eastAsia" w:ascii="Times New Roman" w:hAnsi="Times New Roman"/>
          <w:b w:val="0"/>
          <w:sz w:val="24"/>
          <w:lang w:val="en-US" w:eastAsia="zh-CN"/>
        </w:rPr>
        <w:t>日益</w:t>
      </w:r>
      <w:r>
        <w:rPr>
          <w:rFonts w:ascii="Times New Roman" w:hAnsi="Times New Roman" w:eastAsia="宋体"/>
          <w:b w:val="0"/>
          <w:sz w:val="24"/>
        </w:rPr>
        <w:t>丰富</w:t>
      </w:r>
      <w:r>
        <w:rPr>
          <w:rFonts w:hint="eastAsia" w:ascii="Times New Roman" w:hAnsi="Times New Roman"/>
          <w:b w:val="0"/>
          <w:sz w:val="24"/>
          <w:lang w:eastAsia="zh-CN"/>
        </w:rPr>
        <w:t>，</w:t>
      </w:r>
      <w:r>
        <w:rPr>
          <w:rFonts w:hint="eastAsia" w:ascii="Times New Roman" w:hAnsi="Times New Roman"/>
          <w:b w:val="0"/>
          <w:sz w:val="24"/>
          <w:lang w:val="en-US" w:eastAsia="zh-CN"/>
        </w:rPr>
        <w:t>医疗</w:t>
      </w:r>
      <w:r>
        <w:rPr>
          <w:rFonts w:hint="eastAsia" w:ascii="Times New Roman" w:hAnsi="Times New Roman"/>
          <w:b w:val="0"/>
          <w:sz w:val="24"/>
          <w:lang w:val="en-US" w:eastAsia="zh-CN"/>
        </w:rPr>
        <w:t>政策</w:t>
      </w:r>
      <w:r>
        <w:rPr>
          <w:rFonts w:hint="eastAsia" w:ascii="Times New Roman" w:hAnsi="Times New Roman"/>
          <w:b w:val="0"/>
          <w:sz w:val="24"/>
          <w:lang w:val="en-US" w:eastAsia="zh-CN"/>
        </w:rPr>
        <w:t>的</w:t>
      </w:r>
      <w:r>
        <w:rPr>
          <w:rFonts w:hint="eastAsia" w:ascii="Times New Roman" w:hAnsi="Times New Roman"/>
          <w:b w:val="0"/>
          <w:sz w:val="24"/>
          <w:lang w:val="en-US" w:eastAsia="zh-CN"/>
        </w:rPr>
        <w:t>逐步</w:t>
      </w:r>
      <w:r>
        <w:rPr>
          <w:rFonts w:hint="eastAsia" w:ascii="Times New Roman" w:hAnsi="Times New Roman"/>
          <w:b w:val="0"/>
          <w:sz w:val="24"/>
          <w:lang w:val="en-US" w:eastAsia="zh-CN"/>
        </w:rPr>
        <w:t>开放</w:t>
      </w:r>
      <w:r>
        <w:rPr>
          <w:rFonts w:hint="eastAsia" w:ascii="Times New Roman" w:hAnsi="Times New Roman"/>
          <w:b w:val="0"/>
          <w:sz w:val="24"/>
          <w:lang w:val="en-US" w:eastAsia="zh-CN"/>
        </w:rPr>
        <w:t>引导</w:t>
      </w:r>
      <w:r>
        <w:rPr>
          <w:rFonts w:ascii="Times New Roman" w:hAnsi="Times New Roman" w:eastAsia="宋体"/>
          <w:b w:val="0"/>
          <w:sz w:val="24"/>
        </w:rPr>
        <w:t>，这一领域的研究空间还会继续打开。希望这项研究能起到一点铺路的作用</w:t>
      </w:r>
      <w:r>
        <w:rPr>
          <w:rFonts w:hint="eastAsia" w:ascii="Times New Roman" w:hAnsi="Times New Roman"/>
          <w:b w:val="0"/>
          <w:sz w:val="24"/>
          <w:lang w:eastAsia="zh-CN"/>
        </w:rPr>
        <w:t>，</w:t>
      </w:r>
      <w:r>
        <w:rPr>
          <w:rFonts w:hint="eastAsia" w:ascii="Times New Roman" w:hAnsi="Times New Roman"/>
          <w:b w:val="0"/>
          <w:sz w:val="24"/>
          <w:lang w:val="en-US" w:eastAsia="zh-CN"/>
        </w:rPr>
        <w:t>可以</w:t>
      </w:r>
      <w:r>
        <w:rPr>
          <w:rFonts w:hint="eastAsia" w:ascii="Times New Roman" w:hAnsi="Times New Roman"/>
          <w:b w:val="0"/>
          <w:sz w:val="24"/>
          <w:lang w:val="en-US" w:eastAsia="zh-CN"/>
        </w:rPr>
        <w:t>持续</w:t>
      </w:r>
      <w:r>
        <w:rPr>
          <w:rFonts w:ascii="Times New Roman" w:hAnsi="Times New Roman" w:eastAsia="宋体"/>
          <w:b w:val="0"/>
          <w:sz w:val="24"/>
        </w:rPr>
        <w:t>推动互联网医院从"建而能用"走向"用而高效"，</w:t>
      </w:r>
      <w:r>
        <w:rPr>
          <w:rFonts w:hint="eastAsia" w:ascii="Times New Roman" w:hAnsi="Times New Roman"/>
          <w:b w:val="0"/>
          <w:sz w:val="24"/>
          <w:lang w:val="en-US" w:eastAsia="zh-CN"/>
        </w:rPr>
        <w:t>从而</w:t>
      </w:r>
      <w:r>
        <w:rPr>
          <w:rFonts w:ascii="Times New Roman" w:hAnsi="Times New Roman" w:eastAsia="宋体"/>
          <w:b w:val="0"/>
          <w:sz w:val="24"/>
        </w:rPr>
        <w:t>让医疗服务质量、运营效率和患者体验</w:t>
      </w:r>
      <w:r>
        <w:rPr>
          <w:rFonts w:hint="eastAsia" w:ascii="Times New Roman" w:hAnsi="Times New Roman"/>
          <w:b w:val="0"/>
          <w:sz w:val="24"/>
          <w:lang w:val="en-US" w:eastAsia="zh-CN"/>
        </w:rPr>
        <w:t>全面</w:t>
      </w:r>
      <w:r>
        <w:rPr>
          <w:rFonts w:hint="eastAsia" w:ascii="Times New Roman" w:hAnsi="Times New Roman"/>
          <w:b w:val="0"/>
          <w:sz w:val="24"/>
          <w:lang w:val="en-US" w:eastAsia="zh-CN"/>
        </w:rPr>
        <w:t>提升</w:t>
      </w:r>
      <w:r>
        <w:rPr>
          <w:rFonts w:ascii="Times New Roman" w:hAnsi="Times New Roman" w:eastAsia="宋体"/>
          <w:b w:val="0"/>
          <w:sz w:val="24"/>
        </w:rPr>
        <w:t>。</w:t>
      </w:r>
    </w:p>
    <w:p w14:paraId="7DC93BAB">
      <w:pPr>
        <w:spacing w:before="480" w:after="360" w:line="240" w:lineRule="auto"/>
        <w:jc w:val="center"/>
        <w:outlineLvl w:val="0"/>
      </w:pPr>
      <w:bookmarkStart w:id="84" w:name="_Toc2606"/>
      <w:r>
        <w:rPr>
          <w:rFonts w:ascii="Times New Roman" w:hAnsi="Times New Roman" w:eastAsia="黑体"/>
          <w:b/>
          <w:sz w:val="32"/>
        </w:rPr>
        <w:t>参考文献</w:t>
      </w:r>
      <w:bookmarkEnd w:id="84"/>
    </w:p>
    <w:p w14:paraId="2232B721">
      <w:pPr>
        <w:spacing w:before="480" w:after="120" w:line="240" w:lineRule="auto"/>
        <w:jc w:val="center"/>
        <w:outlineLvl w:val="1"/>
      </w:pPr>
      <w:bookmarkStart w:id="85" w:name="_Toc22166"/>
      <w:r>
        <w:rPr>
          <w:rFonts w:ascii="Times New Roman" w:hAnsi="Times New Roman" w:eastAsia="黑体"/>
          <w:b/>
          <w:sz w:val="28"/>
        </w:rPr>
        <w:t>中文文献</w:t>
      </w:r>
      <w:bookmarkEnd w:id="85"/>
    </w:p>
    <w:p w14:paraId="395AD772">
      <w:pPr>
        <w:spacing w:before="0" w:after="0" w:line="320" w:lineRule="exact"/>
        <w:jc w:val="both"/>
      </w:pPr>
      <w:r>
        <w:rPr>
          <w:rFonts w:ascii="Times New Roman" w:hAnsi="Times New Roman" w:eastAsia="宋体"/>
          <w:b w:val="0"/>
          <w:sz w:val="21"/>
        </w:rPr>
        <w:t>公雪，郭蕊. 我国公立医院互联网诊疗现状及发展思考[J]. 中国医院管理，2025，45(4)：1-5.</w:t>
      </w:r>
    </w:p>
    <w:p w14:paraId="39D3A07A">
      <w:pPr>
        <w:spacing w:before="0" w:after="0" w:line="320" w:lineRule="exact"/>
        <w:jc w:val="both"/>
      </w:pPr>
      <w:r>
        <w:rPr>
          <w:rFonts w:ascii="Times New Roman" w:hAnsi="Times New Roman" w:eastAsia="宋体"/>
          <w:b w:val="0"/>
          <w:sz w:val="21"/>
        </w:rPr>
        <w:t>靳巍巍，黄晓冉，喻雅兰，等. 医疗集团全面质量管理体系信息化建设与应用[J]. 中国卫生质量管理，2025，32(4)：56-59.</w:t>
      </w:r>
    </w:p>
    <w:p w14:paraId="4C4ADB27">
      <w:pPr>
        <w:spacing w:before="0" w:after="0" w:line="320" w:lineRule="exact"/>
        <w:jc w:val="both"/>
      </w:pPr>
      <w:r>
        <w:rPr>
          <w:rFonts w:ascii="Times New Roman" w:hAnsi="Times New Roman" w:eastAsia="宋体"/>
          <w:b w:val="0"/>
          <w:sz w:val="21"/>
        </w:rPr>
        <w:t>李皓月，高铂雯，张敏，等. 美国凯撒医疗集团慢性病管理模式对我国县域医疗卫生共同体建设的启示[J]. 医学与社会，2025，38(7)：17-22.</w:t>
      </w:r>
    </w:p>
    <w:p w14:paraId="777EB1E0">
      <w:pPr>
        <w:spacing w:before="0" w:after="0" w:line="320" w:lineRule="exact"/>
        <w:jc w:val="both"/>
      </w:pPr>
      <w:r>
        <w:rPr>
          <w:rFonts w:ascii="Times New Roman" w:hAnsi="Times New Roman" w:eastAsia="宋体"/>
          <w:b w:val="0"/>
          <w:sz w:val="21"/>
        </w:rPr>
        <w:t>李哲，任亮. 基于共生模式的国家级试点区域紧密型城市医疗集团发展探索与研究[J]. 中国卫生产业，2025(21)：247-251.</w:t>
      </w:r>
    </w:p>
    <w:p w14:paraId="6763D8E1">
      <w:pPr>
        <w:spacing w:before="0" w:after="0" w:line="320" w:lineRule="exact"/>
        <w:jc w:val="both"/>
      </w:pPr>
      <w:r>
        <w:rPr>
          <w:rFonts w:ascii="Times New Roman" w:hAnsi="Times New Roman" w:eastAsia="宋体"/>
          <w:b w:val="0"/>
          <w:sz w:val="21"/>
        </w:rPr>
        <w:t>牛雨婷，赵允伍，王晓松，等. 基于协同视角下的城市医疗集团高质量发展挑战与思考[J]. 中国医院，2024，28(1)：19-22.</w:t>
      </w:r>
    </w:p>
    <w:p w14:paraId="4D3ECE68">
      <w:pPr>
        <w:spacing w:before="0" w:after="0" w:line="320" w:lineRule="exact"/>
        <w:jc w:val="both"/>
      </w:pPr>
      <w:r>
        <w:rPr>
          <w:rFonts w:ascii="Times New Roman" w:hAnsi="Times New Roman" w:eastAsia="宋体"/>
          <w:b w:val="0"/>
          <w:sz w:val="21"/>
        </w:rPr>
        <w:t>钱海章，肖婧舒，李思成，等. 数字化转型与企业创新——来自中国生物医药行业的证据[J]. 产业经济研究，2024(5)：114-127.</w:t>
      </w:r>
    </w:p>
    <w:p w14:paraId="1246129B">
      <w:pPr>
        <w:spacing w:before="0" w:after="0" w:line="320" w:lineRule="exact"/>
        <w:jc w:val="both"/>
      </w:pPr>
      <w:r>
        <w:rPr>
          <w:rFonts w:ascii="Times New Roman" w:hAnsi="Times New Roman" w:eastAsia="宋体"/>
          <w:b w:val="0"/>
          <w:sz w:val="21"/>
        </w:rPr>
        <w:t>谭华伟，彭馨怡，姚辉，等. 中国紧密型城市医疗集团建设：典型模式、关键问题与路径优化[J]. 中国卫生政策研究，2024，17(1)：9-16.</w:t>
      </w:r>
    </w:p>
    <w:p w14:paraId="480FC820">
      <w:pPr>
        <w:spacing w:before="0" w:after="0" w:line="320" w:lineRule="exact"/>
        <w:jc w:val="both"/>
      </w:pPr>
      <w:r>
        <w:rPr>
          <w:rFonts w:ascii="Times New Roman" w:hAnsi="Times New Roman" w:eastAsia="宋体"/>
          <w:b w:val="0"/>
          <w:sz w:val="21"/>
        </w:rPr>
        <w:t>杨善林，丁帅，顾东晓，等. 医联网：新时代医疗健康模式变革与创新发展[J]. 管理科学学报，2021，24(10)：1-11.</w:t>
      </w:r>
    </w:p>
    <w:p w14:paraId="2CE48FEA">
      <w:pPr>
        <w:spacing w:before="0" w:after="0" w:line="320" w:lineRule="exact"/>
        <w:jc w:val="both"/>
      </w:pPr>
      <w:r>
        <w:rPr>
          <w:rFonts w:ascii="Times New Roman" w:hAnsi="Times New Roman" w:eastAsia="宋体"/>
          <w:b w:val="0"/>
          <w:sz w:val="21"/>
        </w:rPr>
        <w:t>姚瑶，崔宇杰，栾伟，等. 医疗卫生数字化转型：挑战、策略与未来展望[J]. 中国卫生经济，2025，44(1)：5-10.</w:t>
      </w:r>
    </w:p>
    <w:p w14:paraId="045C75CF">
      <w:pPr>
        <w:spacing w:before="0" w:after="0" w:line="320" w:lineRule="exact"/>
        <w:jc w:val="both"/>
      </w:pPr>
      <w:r>
        <w:rPr>
          <w:rFonts w:ascii="Times New Roman" w:hAnsi="Times New Roman" w:eastAsia="宋体"/>
          <w:b w:val="0"/>
          <w:sz w:val="21"/>
        </w:rPr>
        <w:t>张宇希，胡建平. 数字化转型驱动数字健康发展思考[J]. 中国卫生信息管理杂志，2024，21(1)：1-6.</w:t>
      </w:r>
    </w:p>
    <w:p w14:paraId="0FE9F220">
      <w:pPr>
        <w:spacing w:before="0" w:after="0" w:line="320" w:lineRule="exact"/>
        <w:jc w:val="both"/>
      </w:pPr>
      <w:r>
        <w:rPr>
          <w:rFonts w:ascii="Times New Roman" w:hAnsi="Times New Roman" w:eastAsia="宋体"/>
          <w:b w:val="0"/>
          <w:sz w:val="21"/>
        </w:rPr>
        <w:t>范一丁，余筱卉，师庆科，等. AI识别技术与"互联网+"融合的智慧护理服务创新模式[J]. 中国数字医学，2025，20(11)：103-108.</w:t>
      </w:r>
    </w:p>
    <w:p w14:paraId="23D3564A">
      <w:pPr>
        <w:spacing w:before="0" w:after="0" w:line="320" w:lineRule="exact"/>
        <w:jc w:val="both"/>
      </w:pPr>
      <w:r>
        <w:rPr>
          <w:rFonts w:ascii="Times New Roman" w:hAnsi="Times New Roman" w:eastAsia="宋体"/>
          <w:b w:val="0"/>
          <w:sz w:val="21"/>
        </w:rPr>
        <w:t>国务院办公厅. 关于促进"互联网+医疗健康"发展的意见[Z]. 国办发〔2018〕26号，2018.</w:t>
      </w:r>
    </w:p>
    <w:p w14:paraId="2058B443">
      <w:pPr>
        <w:spacing w:before="0" w:after="0" w:line="320" w:lineRule="exact"/>
        <w:jc w:val="both"/>
      </w:pPr>
      <w:r>
        <w:rPr>
          <w:rFonts w:ascii="Times New Roman" w:hAnsi="Times New Roman" w:eastAsia="宋体"/>
          <w:b w:val="0"/>
          <w:sz w:val="21"/>
        </w:rPr>
        <w:t>国务院办公厅. 关于推动公立医院高质量发展的意见[Z]. 国办发〔2021〕18号，2021.</w:t>
      </w:r>
    </w:p>
    <w:p w14:paraId="7DC84576">
      <w:pPr>
        <w:spacing w:before="0" w:after="0" w:line="320" w:lineRule="exact"/>
        <w:jc w:val="both"/>
      </w:pPr>
      <w:r>
        <w:rPr>
          <w:rFonts w:ascii="Times New Roman" w:hAnsi="Times New Roman" w:eastAsia="宋体"/>
          <w:b w:val="0"/>
          <w:sz w:val="21"/>
        </w:rPr>
        <w:t>国家卫生健康委员会. 互联网医院管理办法（试行）[Z]. 国卫医发〔2018〕25号，2018.</w:t>
      </w:r>
    </w:p>
    <w:p w14:paraId="0879E665">
      <w:pPr>
        <w:spacing w:before="0" w:after="0" w:line="320" w:lineRule="exact"/>
        <w:jc w:val="both"/>
      </w:pPr>
      <w:r>
        <w:rPr>
          <w:rFonts w:ascii="Times New Roman" w:hAnsi="Times New Roman" w:eastAsia="宋体"/>
          <w:b w:val="0"/>
          <w:sz w:val="21"/>
        </w:rPr>
        <w:t>国家医疗保障局. 关于完善"互联网+"医疗服务价格和医保支付政策的指导意见[Z]. 医保发〔2019〕47号，2019.</w:t>
      </w:r>
    </w:p>
    <w:p w14:paraId="7FBBFFD2">
      <w:pPr>
        <w:spacing w:before="0" w:after="0" w:line="320" w:lineRule="exact"/>
        <w:jc w:val="both"/>
      </w:pPr>
      <w:r>
        <w:rPr>
          <w:rFonts w:ascii="Times New Roman" w:hAnsi="Times New Roman" w:eastAsia="宋体"/>
          <w:b w:val="0"/>
          <w:sz w:val="21"/>
        </w:rPr>
        <w:t>国家医疗保障局. 关于建立完善国家医保谈判药品"双通道"管理机制的指导意见[Z]. 医保发〔2021〕28号，2021.</w:t>
      </w:r>
    </w:p>
    <w:p w14:paraId="1A5A6ED3">
      <w:pPr>
        <w:spacing w:before="0" w:after="0" w:line="320" w:lineRule="exact"/>
        <w:jc w:val="both"/>
      </w:pPr>
      <w:r>
        <w:rPr>
          <w:rFonts w:ascii="Times New Roman" w:hAnsi="Times New Roman" w:eastAsia="宋体"/>
          <w:b w:val="0"/>
          <w:sz w:val="21"/>
        </w:rPr>
        <w:t>国家医疗保障局. DRG/DIP支付方式改革三年行动计划[Z]. 医保发〔2021〕48号，2021.</w:t>
      </w:r>
    </w:p>
    <w:p w14:paraId="3927336B">
      <w:pPr>
        <w:spacing w:before="0" w:after="0" w:line="320" w:lineRule="exact"/>
        <w:jc w:val="both"/>
      </w:pPr>
      <w:r>
        <w:rPr>
          <w:rFonts w:ascii="Times New Roman" w:hAnsi="Times New Roman" w:eastAsia="宋体"/>
          <w:b w:val="0"/>
          <w:sz w:val="21"/>
        </w:rPr>
        <w:t>国家医疗保障局办公室. 关于规范医保药品外配处方管理的通知[Z]. 医保办函〔2024〕86号，2024.</w:t>
      </w:r>
    </w:p>
    <w:p w14:paraId="1714FF81">
      <w:pPr>
        <w:spacing w:before="480" w:after="120" w:line="240" w:lineRule="auto"/>
        <w:jc w:val="center"/>
        <w:outlineLvl w:val="1"/>
      </w:pPr>
      <w:bookmarkStart w:id="86" w:name="_Toc5875"/>
      <w:r>
        <w:rPr>
          <w:rFonts w:ascii="Times New Roman" w:hAnsi="Times New Roman" w:eastAsia="黑体"/>
          <w:b/>
          <w:sz w:val="28"/>
        </w:rPr>
        <w:t>英文文献</w:t>
      </w:r>
      <w:bookmarkEnd w:id="86"/>
    </w:p>
    <w:p w14:paraId="400A94E4">
      <w:pPr>
        <w:spacing w:before="0" w:after="0" w:line="320" w:lineRule="exact"/>
        <w:jc w:val="both"/>
      </w:pPr>
      <w:r>
        <w:rPr>
          <w:rFonts w:ascii="Times New Roman" w:hAnsi="Times New Roman" w:eastAsia="宋体"/>
          <w:b w:val="0"/>
          <w:sz w:val="21"/>
        </w:rPr>
        <w:t>Berti A, van Zelst S, van der Aalst W M P. Process Mining for Python (PM4Py): Bridging the Gap Between Process- and Data Science[C]//BPM 2019 Demo Track, CEUR Workshop Proceedings, Vol. 2374. 2019: 13-16.</w:t>
      </w:r>
    </w:p>
    <w:p w14:paraId="660EB8B4">
      <w:pPr>
        <w:spacing w:before="0" w:after="0" w:line="320" w:lineRule="exact"/>
        <w:jc w:val="both"/>
      </w:pPr>
      <w:r>
        <w:rPr>
          <w:rFonts w:ascii="Times New Roman" w:hAnsi="Times New Roman" w:eastAsia="宋体"/>
          <w:b w:val="0"/>
          <w:sz w:val="21"/>
        </w:rPr>
        <w:t>Bitner M J, Ostrom A L, Morgan F N. Service Blueprinting: A Practical Technique for Service Innovation[J]. California Management Review, 2008, 50(3): 66-94.</w:t>
      </w:r>
    </w:p>
    <w:p w14:paraId="20E0A5E8">
      <w:pPr>
        <w:spacing w:before="0" w:after="0" w:line="320" w:lineRule="exact"/>
        <w:jc w:val="both"/>
      </w:pPr>
      <w:r>
        <w:rPr>
          <w:rFonts w:ascii="Times New Roman" w:hAnsi="Times New Roman" w:eastAsia="宋体"/>
          <w:b w:val="0"/>
          <w:sz w:val="21"/>
        </w:rPr>
        <w:t>Büyüközkan G, Çifçi G, Güleryüz S. Strategic Analysis of Healthcare Service Quality Using Fuzzy AHP Methodology[J]. Expert Systems with Applications, 2011, 38(8): 9407-9424.</w:t>
      </w:r>
    </w:p>
    <w:p w14:paraId="3E9D6D33">
      <w:pPr>
        <w:spacing w:before="0" w:after="0" w:line="320" w:lineRule="exact"/>
        <w:jc w:val="both"/>
      </w:pPr>
      <w:r>
        <w:rPr>
          <w:rFonts w:ascii="Times New Roman" w:hAnsi="Times New Roman" w:eastAsia="宋体"/>
          <w:b w:val="0"/>
          <w:sz w:val="21"/>
        </w:rPr>
        <w:t>Chen X, Wu X, Zhang Q, et al. The Construction and Operational Models of Internet Hospitals in China: A Hospital-Based Survey[J]. BMC Health Services Research, 2023, 23: 657.</w:t>
      </w:r>
    </w:p>
    <w:p w14:paraId="0417AF05">
      <w:pPr>
        <w:spacing w:before="0" w:after="0" w:line="320" w:lineRule="exact"/>
        <w:jc w:val="both"/>
      </w:pPr>
      <w:r>
        <w:rPr>
          <w:rFonts w:ascii="Times New Roman" w:hAnsi="Times New Roman" w:eastAsia="宋体"/>
          <w:b w:val="0"/>
          <w:sz w:val="21"/>
        </w:rPr>
        <w:t>Davari F, Nasr Isfahani I, Atighechian A, et al. Optimizing Emergency Department Efficiency: A Comparative Analysis of Process Mining and Simulation Models to Mitigate Overcrowding and Waiting Times[J]. BMC Medical Informatics and Decision Making, 2024, 24: 292.</w:t>
      </w:r>
    </w:p>
    <w:p w14:paraId="2CB49508">
      <w:pPr>
        <w:spacing w:before="0" w:after="0" w:line="320" w:lineRule="exact"/>
        <w:jc w:val="both"/>
      </w:pPr>
      <w:r>
        <w:rPr>
          <w:rFonts w:ascii="Times New Roman" w:hAnsi="Times New Roman" w:eastAsia="宋体"/>
          <w:b w:val="0"/>
          <w:sz w:val="21"/>
        </w:rPr>
        <w:t>De Roock E, Martin N. Process Mining in Healthcare – An Updated Perspective on the State of the Art[J]. Journal of Biomedical Informatics, 2022, 127: 103995.</w:t>
      </w:r>
    </w:p>
    <w:p w14:paraId="31C0A66A">
      <w:pPr>
        <w:spacing w:before="0" w:after="0" w:line="320" w:lineRule="exact"/>
        <w:jc w:val="both"/>
      </w:pPr>
      <w:r>
        <w:rPr>
          <w:rFonts w:ascii="Times New Roman" w:hAnsi="Times New Roman" w:eastAsia="宋体"/>
          <w:b w:val="0"/>
          <w:sz w:val="21"/>
        </w:rPr>
        <w:t>Erdogan T G, Tarhan A. Systematic Mapping of Process Mining Studies in Healthcare[J]. IEEE Access, 2018, 6: 24543-24567.</w:t>
      </w:r>
    </w:p>
    <w:p w14:paraId="66A295A7">
      <w:pPr>
        <w:spacing w:before="0" w:after="0" w:line="320" w:lineRule="exact"/>
        <w:jc w:val="both"/>
      </w:pPr>
      <w:r>
        <w:rPr>
          <w:rFonts w:ascii="Times New Roman" w:hAnsi="Times New Roman" w:eastAsia="宋体"/>
          <w:b w:val="0"/>
          <w:sz w:val="21"/>
        </w:rPr>
        <w:t>Goodwin N. Understanding Integrated Care[J]. International Journal of Integrated Care, 2016, 16(4): 6.</w:t>
      </w:r>
    </w:p>
    <w:p w14:paraId="0BB2815F">
      <w:pPr>
        <w:spacing w:before="0" w:after="0" w:line="320" w:lineRule="exact"/>
        <w:jc w:val="both"/>
      </w:pPr>
      <w:r>
        <w:rPr>
          <w:rFonts w:ascii="Times New Roman" w:hAnsi="Times New Roman" w:eastAsia="宋体"/>
          <w:b w:val="0"/>
          <w:sz w:val="21"/>
        </w:rPr>
        <w:t>Hammer M, Champy J. Reengineering the Corporation: A Manifesto for Business Revolution[M]. New York: Harper Business, 1993.</w:t>
      </w:r>
    </w:p>
    <w:p w14:paraId="422769B8">
      <w:pPr>
        <w:spacing w:before="0" w:after="0" w:line="320" w:lineRule="exact"/>
        <w:jc w:val="both"/>
      </w:pPr>
      <w:r>
        <w:rPr>
          <w:rFonts w:ascii="Times New Roman" w:hAnsi="Times New Roman" w:eastAsia="宋体"/>
          <w:b w:val="0"/>
          <w:sz w:val="21"/>
        </w:rPr>
        <w:t>Han T, Wei Q, Wang R, et al. Service Quality and Patient Satisfaction of Internet Hospitals in China: Cross-Sectional Evaluation Study[J]. Journal of Medical Internet Research, 2024, 26: e55140.</w:t>
      </w:r>
    </w:p>
    <w:p w14:paraId="354C8B91">
      <w:pPr>
        <w:spacing w:before="0" w:after="0" w:line="320" w:lineRule="exact"/>
        <w:jc w:val="both"/>
      </w:pPr>
      <w:r>
        <w:rPr>
          <w:rFonts w:ascii="Times New Roman" w:hAnsi="Times New Roman" w:eastAsia="宋体"/>
          <w:b w:val="0"/>
          <w:sz w:val="21"/>
        </w:rPr>
        <w:t>Henrique D B, Rentes A F, Godinho Filho M, et al. A New Value Stream Mapping Approach for Healthcare Environments[J]. Production Planning &amp; Control, 2016, 27(1): 24-48.</w:t>
      </w:r>
    </w:p>
    <w:p w14:paraId="77B164F4">
      <w:pPr>
        <w:spacing w:before="0" w:after="0" w:line="320" w:lineRule="exact"/>
        <w:jc w:val="both"/>
      </w:pPr>
      <w:r>
        <w:rPr>
          <w:rFonts w:ascii="Times New Roman" w:hAnsi="Times New Roman" w:eastAsia="宋体"/>
          <w:b w:val="0"/>
          <w:sz w:val="21"/>
        </w:rPr>
        <w:t>Kodner D L, Spreeuwenberg C. Integrated care: meaning, logic, applications, and implications – a discussion paper[J]. International Journal of Integrated Care, 2002, 2(4): 67.</w:t>
      </w:r>
    </w:p>
    <w:p w14:paraId="6C517B96">
      <w:pPr>
        <w:spacing w:before="0" w:after="0" w:line="320" w:lineRule="exact"/>
        <w:jc w:val="both"/>
      </w:pPr>
      <w:r>
        <w:rPr>
          <w:rFonts w:ascii="Times New Roman" w:hAnsi="Times New Roman" w:eastAsia="宋体"/>
          <w:b w:val="0"/>
          <w:sz w:val="21"/>
        </w:rPr>
        <w:t>Kraus S, Schiavone F, Pluzhnikova A, et al. Digital Transformation in Healthcare: Analyzing the Current State-of-Research[J]. Journal of Business Research, 2021, 123: 557-567.</w:t>
      </w:r>
    </w:p>
    <w:p w14:paraId="2224F18A">
      <w:pPr>
        <w:spacing w:before="0" w:after="0" w:line="320" w:lineRule="exact"/>
        <w:jc w:val="both"/>
      </w:pPr>
      <w:r>
        <w:rPr>
          <w:rFonts w:ascii="Times New Roman" w:hAnsi="Times New Roman" w:eastAsia="宋体"/>
          <w:b w:val="0"/>
          <w:sz w:val="21"/>
        </w:rPr>
        <w:t>Liberatore M J, Nydick R F. The Analytic Hierarchy Process in Medical and Health Care Decision Making: A Literature Review[J]. European Journal of Operational Research, 2008, 189(1): 194-207.</w:t>
      </w:r>
    </w:p>
    <w:p w14:paraId="7EBC8D0C">
      <w:pPr>
        <w:spacing w:before="0" w:after="0" w:line="320" w:lineRule="exact"/>
        <w:jc w:val="both"/>
      </w:pPr>
      <w:r>
        <w:rPr>
          <w:rFonts w:ascii="Times New Roman" w:hAnsi="Times New Roman" w:eastAsia="宋体"/>
          <w:b w:val="0"/>
          <w:sz w:val="21"/>
        </w:rPr>
        <w:t>Mans R S, van der Aalst W M P, Vanwersch R J B. Process Mining in Healthcare: Evaluating and Exploiting Operational Healthcare Processes[M]. Cham: Springer, 2015.</w:t>
      </w:r>
    </w:p>
    <w:p w14:paraId="059A292D">
      <w:pPr>
        <w:spacing w:before="0" w:after="0" w:line="320" w:lineRule="exact"/>
        <w:jc w:val="both"/>
      </w:pPr>
      <w:r>
        <w:rPr>
          <w:rFonts w:ascii="Times New Roman" w:hAnsi="Times New Roman" w:eastAsia="宋体"/>
          <w:b w:val="0"/>
          <w:sz w:val="21"/>
        </w:rPr>
        <w:t>Marques I C P, Ferreira J J M. Digital Transformation in the Area of Health: Systematic Review of 45 Years of Evolution[J]. Health and Technology, 2020, 10(3): 575-586.</w:t>
      </w:r>
    </w:p>
    <w:p w14:paraId="21A999D6">
      <w:pPr>
        <w:spacing w:before="0" w:after="0" w:line="320" w:lineRule="exact"/>
        <w:jc w:val="both"/>
      </w:pPr>
      <w:r>
        <w:rPr>
          <w:rFonts w:ascii="Times New Roman" w:hAnsi="Times New Roman" w:eastAsia="宋体"/>
          <w:b w:val="0"/>
          <w:sz w:val="21"/>
        </w:rPr>
        <w:t>Reis J, Amorim M, Melão N, et al. Digital Transformation: A Literature Review and Guidelines for Future Research[C]//Trends and Advances in Information Systems and Technologies, Advances in Intelligent Systems and Computing. Cham: Springer, 2018: 411-421.</w:t>
      </w:r>
    </w:p>
    <w:p w14:paraId="37E709F9">
      <w:pPr>
        <w:spacing w:before="0" w:after="0" w:line="320" w:lineRule="exact"/>
        <w:jc w:val="both"/>
      </w:pPr>
      <w:r>
        <w:rPr>
          <w:rFonts w:ascii="Times New Roman" w:hAnsi="Times New Roman" w:eastAsia="宋体"/>
          <w:b w:val="0"/>
          <w:sz w:val="21"/>
        </w:rPr>
        <w:t>Rojas E, Munoz-Gama J, Sepulveda M, et al. Process Mining in Healthcare: A Literature Review[J]. Journal of Biomedical Informatics, 2016, 61: 224-236.</w:t>
      </w:r>
    </w:p>
    <w:p w14:paraId="08383DA0">
      <w:pPr>
        <w:spacing w:before="0" w:after="0" w:line="320" w:lineRule="exact"/>
        <w:jc w:val="both"/>
      </w:pPr>
      <w:r>
        <w:rPr>
          <w:rFonts w:ascii="Times New Roman" w:hAnsi="Times New Roman" w:eastAsia="宋体"/>
          <w:b w:val="0"/>
          <w:sz w:val="21"/>
        </w:rPr>
        <w:t>Saaty T L. The Analytic Hierarchy Process: Planning, Priority Setting, Resource Allocation[M]. New York: McGraw-Hill, 1980.</w:t>
      </w:r>
    </w:p>
    <w:p w14:paraId="1D6759D9">
      <w:pPr>
        <w:spacing w:before="0" w:after="0" w:line="320" w:lineRule="exact"/>
        <w:jc w:val="both"/>
      </w:pPr>
      <w:r>
        <w:rPr>
          <w:rFonts w:ascii="Times New Roman" w:hAnsi="Times New Roman" w:eastAsia="宋体"/>
          <w:b w:val="0"/>
          <w:sz w:val="21"/>
        </w:rPr>
        <w:t>Samanta A K, Varaprasad G, Gurumurthy A. Implementing Lean Six Sigma in Health Care: A Review of Case Studies[J]. International Journal of Lean Six Sigma, 2023, 14(1): 158-189.</w:t>
      </w:r>
    </w:p>
    <w:p w14:paraId="6058FD13">
      <w:pPr>
        <w:spacing w:before="0" w:after="0" w:line="320" w:lineRule="exact"/>
        <w:jc w:val="both"/>
      </w:pPr>
      <w:r>
        <w:rPr>
          <w:rFonts w:ascii="Times New Roman" w:hAnsi="Times New Roman" w:eastAsia="宋体"/>
          <w:b w:val="0"/>
          <w:sz w:val="21"/>
        </w:rPr>
        <w:t>Schmidt K, Aumann I, Hollander I, et al. Applying the Analytic Hierarchy Process in Healthcare Research: A Systematic Literature Review[J]. BMC Medical Informatics and Decision Making, 2015, 15: 116.</w:t>
      </w:r>
    </w:p>
    <w:p w14:paraId="2D020491">
      <w:pPr>
        <w:spacing w:before="0" w:after="0" w:line="320" w:lineRule="exact"/>
        <w:jc w:val="both"/>
      </w:pPr>
      <w:r>
        <w:rPr>
          <w:rFonts w:ascii="Times New Roman" w:hAnsi="Times New Roman" w:eastAsia="宋体"/>
          <w:b w:val="0"/>
          <w:sz w:val="21"/>
        </w:rPr>
        <w:t>Shadish W R, Cook T D, Campbell D T. Experimental and Quasi-Experimental Designs for Generalized Causal Inference[M]. Boston: Houghton Mifflin, 2002.</w:t>
      </w:r>
    </w:p>
    <w:p w14:paraId="07747228">
      <w:pPr>
        <w:spacing w:before="0" w:after="0" w:line="320" w:lineRule="exact"/>
        <w:jc w:val="both"/>
      </w:pPr>
      <w:r>
        <w:rPr>
          <w:rFonts w:ascii="Times New Roman" w:hAnsi="Times New Roman" w:eastAsia="宋体"/>
          <w:b w:val="0"/>
          <w:sz w:val="21"/>
        </w:rPr>
        <w:t>Shostack G L. Designing Services That Deliver[J]. Harvard Business Review, 1984, 62(1): 133-139.</w:t>
      </w:r>
    </w:p>
    <w:p w14:paraId="3035822F">
      <w:pPr>
        <w:spacing w:before="0" w:after="0" w:line="320" w:lineRule="exact"/>
        <w:jc w:val="both"/>
      </w:pPr>
      <w:r>
        <w:rPr>
          <w:rFonts w:ascii="Times New Roman" w:hAnsi="Times New Roman" w:eastAsia="宋体"/>
          <w:b w:val="0"/>
          <w:sz w:val="21"/>
        </w:rPr>
        <w:t>Subramanian N, Ramanathan R. A Review of Applications of Analytic Hierarchy Process in Operations Management[J]. International Journal of Production Economics, 2012, 138(2): 215-241.</w:t>
      </w:r>
    </w:p>
    <w:p w14:paraId="1B3C81A9">
      <w:pPr>
        <w:spacing w:before="0" w:after="0" w:line="320" w:lineRule="exact"/>
        <w:jc w:val="both"/>
      </w:pPr>
      <w:r>
        <w:rPr>
          <w:rFonts w:ascii="Times New Roman" w:hAnsi="Times New Roman" w:eastAsia="宋体"/>
          <w:b w:val="0"/>
          <w:sz w:val="21"/>
        </w:rPr>
        <w:t>Vaidya O S, Kumar S. Analytic Hierarchy Process: An Overview of Applications[J]. European Journal of Operational Research, 2006, 169(1): 1-29.</w:t>
      </w:r>
    </w:p>
    <w:p w14:paraId="40FA8C77">
      <w:pPr>
        <w:spacing w:before="0" w:after="0" w:line="320" w:lineRule="exact"/>
        <w:jc w:val="both"/>
      </w:pPr>
      <w:r>
        <w:rPr>
          <w:rFonts w:ascii="Times New Roman" w:hAnsi="Times New Roman" w:eastAsia="宋体"/>
          <w:b w:val="0"/>
          <w:sz w:val="21"/>
        </w:rPr>
        <w:t>Van der Aalst W M P. Process Mining: Discovery, Conformance and Enhancement of Business Processes[M]. Berlin: Springer, 2011.</w:t>
      </w:r>
    </w:p>
    <w:p w14:paraId="23577210">
      <w:pPr>
        <w:spacing w:before="0" w:after="0" w:line="320" w:lineRule="exact"/>
        <w:jc w:val="both"/>
      </w:pPr>
      <w:r>
        <w:rPr>
          <w:rFonts w:ascii="Times New Roman" w:hAnsi="Times New Roman" w:eastAsia="宋体"/>
          <w:b w:val="0"/>
          <w:sz w:val="21"/>
        </w:rPr>
        <w:t>Voorheis P, Wong J V, Lazarevic N, et al. Using Journey Mapping and Service Blueprinting to Design Digital Health Behavior Change Innovations: A Scoping Review[J]. Journal of Diabetes Science and Technology, 2025, 19(5): 1196-1214.</w:t>
      </w:r>
    </w:p>
    <w:p w14:paraId="58FE1A81">
      <w:pPr>
        <w:spacing w:before="0" w:after="0" w:line="320" w:lineRule="exact"/>
        <w:jc w:val="both"/>
      </w:pPr>
      <w:r>
        <w:rPr>
          <w:rFonts w:ascii="Times New Roman" w:hAnsi="Times New Roman" w:eastAsia="宋体"/>
          <w:b w:val="0"/>
          <w:sz w:val="21"/>
        </w:rPr>
        <w:t>Wu D, Zhao X, Wu J. Online Physician-Patient Interaction and Patient Satisfaction: Empirical Study of the Internet Hospital Service[J]. Journal of Medical Internet Research, 2023, 25: e39089.</w:t>
      </w:r>
    </w:p>
    <w:p w14:paraId="5893A690">
      <w:pPr>
        <w:spacing w:before="0" w:after="0" w:line="320" w:lineRule="exact"/>
        <w:jc w:val="both"/>
      </w:pPr>
      <w:r>
        <w:rPr>
          <w:rFonts w:ascii="Times New Roman" w:hAnsi="Times New Roman" w:eastAsia="宋体"/>
          <w:b w:val="0"/>
          <w:sz w:val="21"/>
        </w:rPr>
        <w:t>Zhang G, Li B, Gu Z, et al. In-Depth Examination of the Functionality and Performance of the Internet Hospital Information Platform: Development and Usability Study[J]. Journal of Medical Internet Research, 2024, 26: e54018.</w:t>
      </w:r>
    </w:p>
    <w:p w14:paraId="6819A586">
      <w:pPr>
        <w:spacing w:before="480" w:after="360" w:line="240" w:lineRule="auto"/>
        <w:jc w:val="center"/>
        <w:outlineLvl w:val="0"/>
      </w:pPr>
      <w:bookmarkStart w:id="87" w:name="_Toc8969"/>
      <w:r>
        <w:rPr>
          <w:rFonts w:ascii="Times New Roman" w:hAnsi="Times New Roman" w:eastAsia="黑体"/>
          <w:b/>
          <w:sz w:val="32"/>
        </w:rPr>
        <w:t>致谢</w:t>
      </w:r>
      <w:bookmarkEnd w:id="87"/>
    </w:p>
    <w:p w14:paraId="79834AB6">
      <w:pPr>
        <w:spacing w:before="0" w:after="0" w:line="320" w:lineRule="exact"/>
        <w:ind w:firstLine="480" w:firstLineChars="200"/>
        <w:jc w:val="both"/>
      </w:pPr>
      <w:r>
        <w:rPr>
          <w:rFonts w:ascii="Times New Roman" w:hAnsi="Times New Roman" w:eastAsia="仿宋"/>
          <w:b w:val="0"/>
          <w:sz w:val="24"/>
        </w:rPr>
        <w:t>两年</w:t>
      </w:r>
      <w:r>
        <w:rPr>
          <w:rFonts w:hint="eastAsia" w:ascii="Times New Roman" w:hAnsi="Times New Roman" w:eastAsia="仿宋"/>
          <w:b w:val="0"/>
          <w:sz w:val="24"/>
          <w:lang w:val="en-US" w:eastAsia="zh-CN"/>
        </w:rPr>
        <w:t>半</w:t>
      </w:r>
      <w:r>
        <w:rPr>
          <w:rFonts w:ascii="Times New Roman" w:hAnsi="Times New Roman" w:eastAsia="仿宋"/>
          <w:b w:val="0"/>
          <w:sz w:val="24"/>
        </w:rPr>
        <w:t>的MBA学业不觉已近尾声。回头看这篇论文</w:t>
      </w:r>
      <w:r>
        <w:rPr>
          <w:rFonts w:hint="eastAsia" w:ascii="Times New Roman" w:hAnsi="Times New Roman" w:eastAsia="仿宋"/>
          <w:b w:val="0"/>
          <w:sz w:val="24"/>
          <w:lang w:val="en-US" w:eastAsia="zh-CN"/>
        </w:rPr>
        <w:t>的</w:t>
      </w:r>
      <w:r>
        <w:rPr>
          <w:rFonts w:hint="eastAsia" w:ascii="Times New Roman" w:hAnsi="Times New Roman" w:eastAsia="仿宋"/>
          <w:b w:val="0"/>
          <w:sz w:val="24"/>
          <w:lang w:val="en-US" w:eastAsia="zh-CN"/>
        </w:rPr>
        <w:t>整个</w:t>
      </w:r>
      <w:r>
        <w:rPr>
          <w:rFonts w:hint="eastAsia" w:ascii="Times New Roman" w:hAnsi="Times New Roman" w:eastAsia="仿宋"/>
          <w:b w:val="0"/>
          <w:sz w:val="24"/>
          <w:lang w:val="en-US" w:eastAsia="zh-CN"/>
        </w:rPr>
        <w:t>过程</w:t>
      </w:r>
      <w:r>
        <w:rPr>
          <w:rFonts w:hint="eastAsia" w:ascii="Times New Roman" w:hAnsi="Times New Roman" w:eastAsia="仿宋"/>
          <w:b w:val="0"/>
          <w:sz w:val="24"/>
          <w:lang w:val="en-US" w:eastAsia="zh-CN"/>
        </w:rPr>
        <w:t>，</w:t>
      </w:r>
      <w:r>
        <w:rPr>
          <w:rFonts w:hint="eastAsia" w:ascii="Times New Roman" w:hAnsi="Times New Roman" w:eastAsia="仿宋"/>
          <w:b w:val="0"/>
          <w:sz w:val="24"/>
          <w:lang w:val="en-US" w:eastAsia="zh-CN"/>
        </w:rPr>
        <w:t>从</w:t>
      </w:r>
      <w:r>
        <w:rPr>
          <w:rFonts w:ascii="Times New Roman" w:hAnsi="Times New Roman" w:eastAsia="仿宋"/>
          <w:b w:val="0"/>
          <w:sz w:val="24"/>
        </w:rPr>
        <w:t>选题构思、数据收集、方法论证，再到一遍遍的文稿修改</w:t>
      </w:r>
      <w:r>
        <w:rPr>
          <w:rFonts w:hint="eastAsia" w:ascii="Times New Roman" w:hAnsi="Times New Roman" w:eastAsia="仿宋"/>
          <w:b w:val="0"/>
          <w:sz w:val="24"/>
          <w:lang w:eastAsia="zh-CN"/>
        </w:rPr>
        <w:t>，</w:t>
      </w:r>
      <w:r>
        <w:rPr>
          <w:rFonts w:hint="eastAsia" w:ascii="Times New Roman" w:hAnsi="Times New Roman" w:eastAsia="仿宋"/>
          <w:b w:val="0"/>
          <w:sz w:val="24"/>
          <w:lang w:val="en-US" w:eastAsia="zh-CN"/>
        </w:rPr>
        <w:t>每</w:t>
      </w:r>
      <w:r>
        <w:rPr>
          <w:rFonts w:ascii="Times New Roman" w:hAnsi="Times New Roman" w:eastAsia="仿宋"/>
          <w:b w:val="0"/>
          <w:sz w:val="24"/>
        </w:rPr>
        <w:t>一步</w:t>
      </w:r>
      <w:r>
        <w:rPr>
          <w:rFonts w:hint="eastAsia" w:ascii="Times New Roman" w:hAnsi="Times New Roman" w:eastAsia="仿宋"/>
          <w:b w:val="0"/>
          <w:sz w:val="24"/>
          <w:lang w:val="en-US" w:eastAsia="zh-CN"/>
        </w:rPr>
        <w:t>都</w:t>
      </w:r>
      <w:r>
        <w:rPr>
          <w:rFonts w:ascii="Times New Roman" w:hAnsi="Times New Roman" w:eastAsia="仿宋"/>
          <w:b w:val="0"/>
          <w:sz w:val="24"/>
        </w:rPr>
        <w:t>离</w:t>
      </w:r>
      <w:r>
        <w:rPr>
          <w:rFonts w:hint="eastAsia" w:ascii="Times New Roman" w:hAnsi="Times New Roman" w:eastAsia="仿宋"/>
          <w:b w:val="0"/>
          <w:sz w:val="24"/>
          <w:lang w:val="en-US" w:eastAsia="zh-CN"/>
        </w:rPr>
        <w:t>不</w:t>
      </w:r>
      <w:r>
        <w:rPr>
          <w:rFonts w:ascii="Times New Roman" w:hAnsi="Times New Roman" w:eastAsia="仿宋"/>
          <w:b w:val="0"/>
          <w:sz w:val="24"/>
        </w:rPr>
        <w:t>开</w:t>
      </w:r>
      <w:r>
        <w:rPr>
          <w:rFonts w:hint="eastAsia" w:ascii="Times New Roman" w:hAnsi="Times New Roman" w:eastAsia="仿宋"/>
          <w:b w:val="0"/>
          <w:sz w:val="24"/>
          <w:lang w:val="en-US" w:eastAsia="zh-CN"/>
        </w:rPr>
        <w:t>老师</w:t>
      </w:r>
      <w:r>
        <w:rPr>
          <w:rFonts w:ascii="Times New Roman" w:hAnsi="Times New Roman" w:eastAsia="仿宋"/>
          <w:b w:val="0"/>
          <w:sz w:val="24"/>
        </w:rPr>
        <w:t>、同学与家人的支持</w:t>
      </w:r>
      <w:r>
        <w:rPr>
          <w:rFonts w:hint="eastAsia" w:ascii="Times New Roman" w:hAnsi="Times New Roman" w:eastAsia="仿宋"/>
          <w:b w:val="0"/>
          <w:sz w:val="24"/>
          <w:lang w:val="en-US" w:eastAsia="zh-CN"/>
        </w:rPr>
        <w:t>与</w:t>
      </w:r>
      <w:r>
        <w:rPr>
          <w:rFonts w:hint="eastAsia" w:ascii="Times New Roman" w:hAnsi="Times New Roman" w:eastAsia="仿宋"/>
          <w:b w:val="0"/>
          <w:sz w:val="24"/>
          <w:lang w:val="en-US" w:eastAsia="zh-CN"/>
        </w:rPr>
        <w:t>帮助</w:t>
      </w:r>
      <w:r>
        <w:rPr>
          <w:rFonts w:ascii="Times New Roman" w:hAnsi="Times New Roman" w:eastAsia="仿宋"/>
          <w:b w:val="0"/>
          <w:sz w:val="24"/>
        </w:rPr>
        <w:t>。</w:t>
      </w:r>
    </w:p>
    <w:p w14:paraId="6032C7FD">
      <w:pPr>
        <w:spacing w:before="0" w:after="0" w:line="320" w:lineRule="exact"/>
        <w:ind w:firstLine="480" w:firstLineChars="200"/>
        <w:jc w:val="both"/>
      </w:pPr>
      <w:r>
        <w:rPr>
          <w:rFonts w:hint="eastAsia" w:ascii="Times New Roman" w:hAnsi="Times New Roman" w:eastAsia="仿宋"/>
          <w:b w:val="0"/>
          <w:sz w:val="24"/>
          <w:lang w:val="en-US" w:eastAsia="zh-CN"/>
        </w:rPr>
        <w:t>首先</w:t>
      </w:r>
      <w:r>
        <w:rPr>
          <w:rFonts w:hint="eastAsia" w:ascii="Times New Roman" w:hAnsi="Times New Roman" w:eastAsia="仿宋"/>
          <w:b w:val="0"/>
          <w:sz w:val="24"/>
          <w:lang w:val="en-US" w:eastAsia="zh-CN"/>
        </w:rPr>
        <w:t>，</w:t>
      </w:r>
      <w:r>
        <w:rPr>
          <w:rFonts w:ascii="Times New Roman" w:hAnsi="Times New Roman" w:eastAsia="仿宋"/>
          <w:b w:val="0"/>
          <w:sz w:val="24"/>
        </w:rPr>
        <w:t>最想感谢的是校内导师王谦教授。从论文选题的确定到研究框架的设计，从方法论的把关到文字表述的推敲，</w:t>
      </w:r>
      <w:r>
        <w:rPr>
          <w:rFonts w:ascii="Times New Roman" w:hAnsi="Times New Roman" w:eastAsia="仿宋"/>
          <w:b w:val="0"/>
          <w:sz w:val="24"/>
        </w:rPr>
        <w:t>王谦</w:t>
      </w:r>
      <w:r>
        <w:rPr>
          <w:rFonts w:hint="eastAsia" w:ascii="Times New Roman" w:hAnsi="Times New Roman" w:eastAsia="仿宋"/>
          <w:b w:val="0"/>
          <w:sz w:val="24"/>
          <w:lang w:val="en-US" w:eastAsia="zh-CN"/>
        </w:rPr>
        <w:t>教授</w:t>
      </w:r>
      <w:r>
        <w:rPr>
          <w:rFonts w:ascii="Times New Roman" w:hAnsi="Times New Roman" w:eastAsia="仿宋"/>
          <w:b w:val="0"/>
          <w:sz w:val="24"/>
        </w:rPr>
        <w:t>都给予了悉心的指导和耐心的点拨</w:t>
      </w:r>
      <w:r>
        <w:rPr>
          <w:rFonts w:hint="eastAsia" w:ascii="Times New Roman" w:hAnsi="Times New Roman" w:eastAsia="仿宋"/>
          <w:b w:val="0"/>
          <w:sz w:val="24"/>
          <w:lang w:eastAsia="zh-CN"/>
        </w:rPr>
        <w:t>，</w:t>
      </w:r>
      <w:r>
        <w:rPr>
          <w:rFonts w:hint="eastAsia" w:ascii="Times New Roman" w:hAnsi="Times New Roman" w:eastAsia="仿宋"/>
          <w:b w:val="0"/>
          <w:sz w:val="24"/>
          <w:lang w:val="en-US" w:eastAsia="zh-CN"/>
        </w:rPr>
        <w:t>他</w:t>
      </w:r>
      <w:r>
        <w:rPr>
          <w:rFonts w:ascii="Times New Roman" w:hAnsi="Times New Roman" w:eastAsia="仿宋"/>
          <w:b w:val="0"/>
          <w:sz w:val="24"/>
        </w:rPr>
        <w:t>严谨的治学态度、深厚的学术造诣和对学生高度负责的精神，使我在论文写作过程中受益匪浅，也将持续影响我今后的学习与工作。</w:t>
      </w:r>
    </w:p>
    <w:p w14:paraId="3DC9C8EB">
      <w:pPr>
        <w:spacing w:before="0" w:after="0" w:line="320" w:lineRule="exact"/>
        <w:ind w:firstLine="480" w:firstLineChars="200"/>
        <w:jc w:val="both"/>
      </w:pPr>
      <w:r>
        <w:rPr>
          <w:rFonts w:hint="eastAsia" w:ascii="Times New Roman" w:hAnsi="Times New Roman" w:eastAsia="仿宋"/>
          <w:b w:val="0"/>
          <w:sz w:val="24"/>
          <w:lang w:val="en-US" w:eastAsia="zh-CN"/>
        </w:rPr>
        <w:t>同时，</w:t>
      </w:r>
      <w:r>
        <w:rPr>
          <w:rFonts w:ascii="Times New Roman" w:hAnsi="Times New Roman" w:eastAsia="仿宋"/>
          <w:b w:val="0"/>
          <w:sz w:val="24"/>
        </w:rPr>
        <w:t>校外导师王静漪老师同样是我由衷感谢的人。王老师结合自己丰富的行业管理经验，对本文的案例选取、数据分析与优化方案设计提出了诸多建设性意见，使本研究得以紧扣医药集团互联网医院运营的实际问题，保持了理论分析与实践应用的紧密结合。</w:t>
      </w:r>
    </w:p>
    <w:p w14:paraId="049FB77B">
      <w:pPr>
        <w:spacing w:before="0" w:after="0" w:line="320" w:lineRule="exact"/>
        <w:ind w:firstLine="480" w:firstLineChars="200"/>
        <w:jc w:val="both"/>
      </w:pPr>
      <w:r>
        <w:rPr>
          <w:rFonts w:ascii="Times New Roman" w:hAnsi="Times New Roman" w:eastAsia="仿宋"/>
          <w:b w:val="0"/>
          <w:sz w:val="24"/>
        </w:rPr>
        <w:t>感谢南开大学商学院的各位授课老师在MBA课程学习期间给予我的教导，系统的管理知识训练为本论文的完成奠定了坚实的基础。感谢参与论文开题与</w:t>
      </w:r>
      <w:r>
        <w:rPr>
          <w:rFonts w:hint="eastAsia" w:ascii="Times New Roman" w:hAnsi="Times New Roman" w:eastAsia="仿宋"/>
          <w:b w:val="0"/>
          <w:sz w:val="24"/>
          <w:lang w:val="en-US" w:eastAsia="zh-CN"/>
        </w:rPr>
        <w:t>预</w:t>
      </w:r>
      <w:r>
        <w:rPr>
          <w:rFonts w:hint="eastAsia" w:ascii="Times New Roman" w:hAnsi="Times New Roman" w:eastAsia="仿宋"/>
          <w:b w:val="0"/>
          <w:sz w:val="24"/>
          <w:lang w:val="en-US" w:eastAsia="zh-CN"/>
        </w:rPr>
        <w:t>答辩</w:t>
      </w:r>
      <w:r>
        <w:rPr>
          <w:rFonts w:hint="eastAsia" w:ascii="Times New Roman" w:hAnsi="Times New Roman" w:eastAsia="仿宋"/>
          <w:b w:val="0"/>
          <w:sz w:val="24"/>
          <w:lang w:val="en-US" w:eastAsia="zh-CN"/>
        </w:rPr>
        <w:t>期间</w:t>
      </w:r>
      <w:r>
        <w:rPr>
          <w:rFonts w:ascii="Times New Roman" w:hAnsi="Times New Roman" w:eastAsia="仿宋"/>
          <w:b w:val="0"/>
          <w:sz w:val="24"/>
        </w:rPr>
        <w:t>的各位专家老师提出的中肯意见，这些意见对完善本文的研究设计起到了重要作用。</w:t>
      </w:r>
      <w:r>
        <w:rPr>
          <w:rFonts w:ascii="Times New Roman" w:hAnsi="Times New Roman" w:eastAsia="仿宋"/>
          <w:b w:val="0"/>
          <w:sz w:val="24"/>
        </w:rPr>
        <w:t>感谢同窗好友在学习期间的相互鼓励与帮助。</w:t>
      </w:r>
    </w:p>
    <w:p w14:paraId="4822A534">
      <w:pPr>
        <w:spacing w:before="0" w:after="0" w:line="320" w:lineRule="exact"/>
        <w:ind w:firstLine="480" w:firstLineChars="200"/>
        <w:jc w:val="both"/>
      </w:pPr>
      <w:r>
        <w:rPr>
          <w:rFonts w:ascii="Times New Roman" w:hAnsi="Times New Roman" w:eastAsia="仿宋"/>
          <w:b w:val="0"/>
          <w:sz w:val="24"/>
        </w:rPr>
        <w:t>感谢A医药集团及互联网医院平台的各位同事在工作与调研过程中给予的理解和支持，为本文的数据获取与试点实施提供了必要条件。</w:t>
      </w:r>
    </w:p>
    <w:p w14:paraId="0BE08DA1">
      <w:pPr>
        <w:spacing w:before="0" w:after="0" w:line="320" w:lineRule="exact"/>
        <w:ind w:firstLine="480" w:firstLineChars="200"/>
        <w:jc w:val="both"/>
      </w:pPr>
      <w:r>
        <w:rPr>
          <w:rFonts w:hint="eastAsia" w:ascii="Times New Roman" w:hAnsi="Times New Roman" w:eastAsia="仿宋"/>
          <w:b w:val="0"/>
          <w:sz w:val="24"/>
          <w:lang w:val="en-US" w:eastAsia="zh-CN"/>
        </w:rPr>
        <w:t>最后，</w:t>
      </w:r>
      <w:r>
        <w:rPr>
          <w:rFonts w:ascii="Times New Roman" w:hAnsi="Times New Roman" w:eastAsia="仿宋"/>
          <w:b w:val="0"/>
          <w:sz w:val="24"/>
        </w:rPr>
        <w:t>还要特别感谢我的家人。兼顾工作、学业与家庭的这段日子，是</w:t>
      </w:r>
      <w:r>
        <w:rPr>
          <w:rFonts w:hint="eastAsia" w:ascii="Times New Roman" w:hAnsi="Times New Roman" w:eastAsia="仿宋"/>
          <w:b w:val="0"/>
          <w:sz w:val="24"/>
          <w:lang w:val="en-US" w:eastAsia="zh-CN"/>
        </w:rPr>
        <w:t>她</w:t>
      </w:r>
      <w:r>
        <w:rPr>
          <w:rFonts w:ascii="Times New Roman" w:hAnsi="Times New Roman" w:eastAsia="仿宋"/>
          <w:b w:val="0"/>
          <w:sz w:val="24"/>
        </w:rPr>
        <w:t>们的包容、理解</w:t>
      </w:r>
      <w:r>
        <w:rPr>
          <w:rFonts w:hint="eastAsia" w:ascii="Times New Roman" w:hAnsi="Times New Roman" w:eastAsia="仿宋"/>
          <w:b w:val="0"/>
          <w:sz w:val="24"/>
          <w:lang w:eastAsia="zh-CN"/>
        </w:rPr>
        <w:t>、</w:t>
      </w:r>
      <w:r>
        <w:rPr>
          <w:rFonts w:ascii="Times New Roman" w:hAnsi="Times New Roman" w:eastAsia="仿宋"/>
          <w:b w:val="0"/>
          <w:sz w:val="24"/>
        </w:rPr>
        <w:t>支持</w:t>
      </w:r>
      <w:r>
        <w:rPr>
          <w:rFonts w:hint="eastAsia" w:ascii="Times New Roman" w:hAnsi="Times New Roman" w:eastAsia="仿宋"/>
          <w:b w:val="0"/>
          <w:sz w:val="24"/>
          <w:lang w:val="en-US" w:eastAsia="zh-CN"/>
        </w:rPr>
        <w:t>与</w:t>
      </w:r>
      <w:r>
        <w:rPr>
          <w:rFonts w:ascii="Times New Roman" w:hAnsi="Times New Roman" w:eastAsia="仿宋"/>
          <w:b w:val="0"/>
          <w:sz w:val="24"/>
        </w:rPr>
        <w:t>鼓励</w:t>
      </w:r>
      <w:r>
        <w:rPr>
          <w:rFonts w:hint="eastAsia" w:ascii="Times New Roman" w:hAnsi="Times New Roman" w:eastAsia="仿宋"/>
          <w:b w:val="0"/>
          <w:sz w:val="24"/>
          <w:lang w:eastAsia="zh-CN"/>
        </w:rPr>
        <w:t>，</w:t>
      </w:r>
      <w:r>
        <w:rPr>
          <w:rFonts w:hint="eastAsia" w:ascii="Times New Roman" w:hAnsi="Times New Roman" w:eastAsia="仿宋"/>
          <w:b w:val="0"/>
          <w:sz w:val="24"/>
          <w:lang w:val="en-US" w:eastAsia="zh-CN"/>
        </w:rPr>
        <w:t>使得</w:t>
      </w:r>
      <w:r>
        <w:rPr>
          <w:rFonts w:ascii="Times New Roman" w:hAnsi="Times New Roman" w:eastAsia="仿宋"/>
          <w:b w:val="0"/>
          <w:sz w:val="24"/>
        </w:rPr>
        <w:t>我一直</w:t>
      </w:r>
      <w:r>
        <w:rPr>
          <w:rFonts w:hint="eastAsia" w:ascii="Times New Roman" w:hAnsi="Times New Roman" w:eastAsia="仿宋"/>
          <w:b w:val="0"/>
          <w:sz w:val="24"/>
          <w:lang w:val="en-US" w:eastAsia="zh-CN"/>
        </w:rPr>
        <w:t>拥有</w:t>
      </w:r>
      <w:r>
        <w:rPr>
          <w:rFonts w:ascii="Times New Roman" w:hAnsi="Times New Roman" w:eastAsia="仿宋"/>
          <w:b w:val="0"/>
          <w:sz w:val="24"/>
        </w:rPr>
        <w:t>向前的动力。</w:t>
      </w:r>
    </w:p>
    <w:p w14:paraId="66EB2AF8">
      <w:pPr>
        <w:spacing w:before="0" w:after="0" w:line="320" w:lineRule="exact"/>
        <w:ind w:firstLine="480" w:firstLineChars="200"/>
        <w:jc w:val="both"/>
      </w:pPr>
      <w:r>
        <w:rPr>
          <w:rFonts w:ascii="Times New Roman" w:hAnsi="Times New Roman" w:eastAsia="仿宋"/>
          <w:b w:val="0"/>
          <w:sz w:val="24"/>
        </w:rPr>
        <w:t>由于本人学识有限，论文中难免存在疏漏与不足之处，恳请各位专家老师批评指正。</w:t>
      </w:r>
    </w:p>
    <w:sectPr>
      <w:headerReference r:id="rId7" w:type="default"/>
      <w:footerReference r:id="rId8" w:type="default"/>
      <w:pgSz w:w="12240" w:h="15840"/>
      <w:pgMar w:top="2154" w:right="1814" w:bottom="2154" w:left="1814" w:header="1701" w:footer="1701"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袁明镜" w:date="2026-09-03T14:07:30Z" w:initials="">
    <w:p w14:paraId="4BCADB40">
      <w:pPr>
        <w:pStyle w:val="17"/>
        <w:rPr>
          <w:rFonts w:hint="eastAsia"/>
          <w:lang w:val="en-US" w:eastAsia="zh-CN"/>
        </w:rPr>
      </w:pPr>
      <w:r>
        <w:rPr>
          <w:rFonts w:hint="eastAsia"/>
          <w:lang w:val="en-US" w:eastAsia="zh-CN"/>
        </w:rPr>
        <w:t>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BCADB4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ED1ED">
    <w:pPr>
      <w:pStyle w:val="26"/>
      <w:jc w:val="center"/>
    </w:pPr>
    <w:r>
      <w:rPr>
        <w:rFonts w:ascii="Times New Roman" w:hAnsi="Times New Roman" w:eastAsia="宋体"/>
        <w:sz w:val="21"/>
      </w:rPr>
      <w:fldChar w:fldCharType="begin"/>
    </w:r>
    <w:r>
      <w:rPr>
        <w:rFonts w:ascii="Times New Roman" w:hAnsi="Times New Roman" w:eastAsia="宋体"/>
        <w:sz w:val="21"/>
      </w:rPr>
      <w:instrText xml:space="preserve"> PAGE </w:instrText>
    </w:r>
    <w:r>
      <w:rPr>
        <w:rFonts w:ascii="Times New Roman" w:hAnsi="Times New Roman" w:eastAsia="宋体"/>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6F2FA">
    <w:pPr>
      <w:pStyle w:val="27"/>
      <w:jc w:val="center"/>
    </w:pPr>
    <w:r>
      <w:rPr>
        <w:rFonts w:ascii="Times New Roman" w:hAnsi="Times New Roman" w:eastAsia="宋体"/>
        <w:sz w:val="21"/>
      </w:rPr>
      <w:t>数字化转型下A医药集团互联网医院服务流程优化研究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袁明镜">
    <w15:presenceInfo w15:providerId="None" w15:userId="袁明镜"/>
  </w15:person>
  <w15:person w15:author="Lisa">
    <w15:presenceInfo w15:providerId="WPS Office" w15:userId="36371803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trackRevision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9A73983"/>
    <w:rsid w:val="0DDA7292"/>
    <w:rsid w:val="0E1E3623"/>
    <w:rsid w:val="1C160940"/>
    <w:rsid w:val="1D4D5CD3"/>
    <w:rsid w:val="1E0A5972"/>
    <w:rsid w:val="1FF57F5C"/>
    <w:rsid w:val="262D3510"/>
    <w:rsid w:val="29CE3CF8"/>
    <w:rsid w:val="37706654"/>
    <w:rsid w:val="3AA82343"/>
    <w:rsid w:val="41CE08E1"/>
    <w:rsid w:val="460D5750"/>
    <w:rsid w:val="6C0466FE"/>
    <w:rsid w:val="6C07661A"/>
    <w:rsid w:val="6CFC5A53"/>
    <w:rsid w:val="6F9D26CF"/>
    <w:rsid w:val="7A0348C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400" w:lineRule="exact"/>
    </w:pPr>
    <w:rPr>
      <w:rFonts w:ascii="宋体" w:hAnsi="宋体" w:eastAsia="宋体" w:cstheme="minorBidi"/>
      <w:sz w:val="24"/>
      <w:szCs w:val="22"/>
      <w:lang w:val="en-US" w:eastAsia="en-US" w:bidi="ar-SA"/>
    </w:rPr>
  </w:style>
  <w:style w:type="paragraph" w:styleId="3">
    <w:name w:val="heading 1"/>
    <w:basedOn w:val="1"/>
    <w:next w:val="1"/>
    <w:link w:val="142"/>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3"/>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4"/>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5"/>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6"/>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7"/>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6">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qFormat/>
    <w:uiPriority w:val="99"/>
    <w:pPr>
      <w:jc w:val="left"/>
    </w:pPr>
  </w:style>
  <w:style w:type="paragraph" w:styleId="18">
    <w:name w:val="Body Text 3"/>
    <w:basedOn w:val="1"/>
    <w:link w:val="150"/>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8"/>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toc 3"/>
    <w:basedOn w:val="1"/>
    <w:next w:val="1"/>
    <w:semiHidden/>
    <w:unhideWhenUsed/>
    <w:qFormat/>
    <w:uiPriority w:val="39"/>
    <w:pPr>
      <w:ind w:left="840" w:leftChars="400"/>
    </w:pPr>
  </w:style>
  <w:style w:type="paragraph" w:styleId="26">
    <w:name w:val="footer"/>
    <w:basedOn w:val="1"/>
    <w:link w:val="140"/>
    <w:unhideWhenUsed/>
    <w:qFormat/>
    <w:uiPriority w:val="99"/>
    <w:pPr>
      <w:tabs>
        <w:tab w:val="center" w:pos="4680"/>
        <w:tab w:val="right" w:pos="9360"/>
      </w:tabs>
      <w:spacing w:after="0" w:line="240" w:lineRule="auto"/>
    </w:pPr>
  </w:style>
  <w:style w:type="paragraph" w:styleId="27">
    <w:name w:val="header"/>
    <w:basedOn w:val="1"/>
    <w:link w:val="139"/>
    <w:unhideWhenUsed/>
    <w:qFormat/>
    <w:uiPriority w:val="99"/>
    <w:pPr>
      <w:tabs>
        <w:tab w:val="center" w:pos="4680"/>
        <w:tab w:val="right" w:pos="9360"/>
      </w:tabs>
      <w:spacing w:after="0" w:line="240" w:lineRule="auto"/>
    </w:pPr>
  </w:style>
  <w:style w:type="paragraph" w:styleId="28">
    <w:name w:val="toc 1"/>
    <w:basedOn w:val="1"/>
    <w:next w:val="1"/>
    <w:semiHidden/>
    <w:unhideWhenUsed/>
    <w:qFormat/>
    <w:uiPriority w:val="39"/>
  </w:style>
  <w:style w:type="paragraph" w:styleId="29">
    <w:name w:val="Subtitle"/>
    <w:basedOn w:val="1"/>
    <w:next w:val="1"/>
    <w:link w:val="14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0">
    <w:name w:val="List"/>
    <w:basedOn w:val="1"/>
    <w:unhideWhenUsed/>
    <w:qFormat/>
    <w:uiPriority w:val="99"/>
    <w:pPr>
      <w:ind w:left="360" w:hanging="360"/>
      <w:contextualSpacing/>
    </w:pPr>
  </w:style>
  <w:style w:type="paragraph" w:styleId="31">
    <w:name w:val="toc 2"/>
    <w:basedOn w:val="1"/>
    <w:next w:val="1"/>
    <w:semiHidden/>
    <w:unhideWhenUsed/>
    <w:qFormat/>
    <w:uiPriority w:val="39"/>
    <w:pPr>
      <w:ind w:left="420" w:leftChars="200"/>
    </w:pPr>
  </w:style>
  <w:style w:type="paragraph" w:styleId="32">
    <w:name w:val="Body Text 2"/>
    <w:basedOn w:val="1"/>
    <w:link w:val="149"/>
    <w:unhideWhenUsed/>
    <w:qFormat/>
    <w:uiPriority w:val="99"/>
    <w:pPr>
      <w:spacing w:after="120" w:line="480" w:lineRule="auto"/>
    </w:pPr>
  </w:style>
  <w:style w:type="paragraph" w:styleId="33">
    <w:name w:val="List Continue 2"/>
    <w:basedOn w:val="1"/>
    <w:unhideWhenUsed/>
    <w:qFormat/>
    <w:uiPriority w:val="99"/>
    <w:pPr>
      <w:spacing w:after="120"/>
      <w:ind w:left="720"/>
      <w:contextualSpacing/>
    </w:pPr>
  </w:style>
  <w:style w:type="paragraph" w:styleId="34">
    <w:name w:val="List Continue 3"/>
    <w:basedOn w:val="1"/>
    <w:unhideWhenUsed/>
    <w:qFormat/>
    <w:uiPriority w:val="99"/>
    <w:pPr>
      <w:spacing w:after="120"/>
      <w:ind w:left="1080"/>
      <w:contextualSpacing/>
    </w:pPr>
  </w:style>
  <w:style w:type="paragraph" w:styleId="35">
    <w:name w:val="Title"/>
    <w:basedOn w:val="1"/>
    <w:next w:val="1"/>
    <w:link w:val="145"/>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Table Grid"/>
    <w:basedOn w:val="3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8">
    <w:name w:val="Light Shading"/>
    <w:basedOn w:val="36"/>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36"/>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36"/>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36"/>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36"/>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36"/>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36"/>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36"/>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36"/>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36"/>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36"/>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36"/>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36"/>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36"/>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36"/>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36"/>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36"/>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36"/>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36"/>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36"/>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36"/>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36"/>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36"/>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36"/>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36"/>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36"/>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36"/>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36"/>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36"/>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36"/>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36"/>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36"/>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36"/>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36"/>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36"/>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36"/>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36"/>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36"/>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36"/>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36"/>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36"/>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36"/>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36"/>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36"/>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36"/>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36"/>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7">
    <w:name w:val="Strong"/>
    <w:basedOn w:val="136"/>
    <w:qFormat/>
    <w:uiPriority w:val="22"/>
    <w:rPr>
      <w:b/>
      <w:bCs/>
    </w:rPr>
  </w:style>
  <w:style w:type="character" w:styleId="138">
    <w:name w:val="Emphasis"/>
    <w:basedOn w:val="136"/>
    <w:qFormat/>
    <w:uiPriority w:val="20"/>
    <w:rPr>
      <w:i/>
      <w:iCs/>
    </w:rPr>
  </w:style>
  <w:style w:type="character" w:customStyle="1" w:styleId="139">
    <w:name w:val="Header Char"/>
    <w:basedOn w:val="136"/>
    <w:link w:val="27"/>
    <w:uiPriority w:val="99"/>
  </w:style>
  <w:style w:type="character" w:customStyle="1" w:styleId="140">
    <w:name w:val="Footer Char"/>
    <w:basedOn w:val="136"/>
    <w:link w:val="26"/>
    <w:qFormat/>
    <w:uiPriority w:val="99"/>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2">
    <w:name w:val="Heading 1 Char"/>
    <w:basedOn w:val="136"/>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3">
    <w:name w:val="Heading 2 Char"/>
    <w:basedOn w:val="136"/>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4">
    <w:name w:val="Heading 3 Char"/>
    <w:basedOn w:val="136"/>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5">
    <w:name w:val="Title Char"/>
    <w:basedOn w:val="136"/>
    <w:link w:val="3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6">
    <w:name w:val="Subtitle Char"/>
    <w:basedOn w:val="136"/>
    <w:link w:val="29"/>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Body Text Char"/>
    <w:basedOn w:val="136"/>
    <w:link w:val="20"/>
    <w:qFormat/>
    <w:uiPriority w:val="99"/>
  </w:style>
  <w:style w:type="character" w:customStyle="1" w:styleId="149">
    <w:name w:val="Body Text 2 Char"/>
    <w:basedOn w:val="136"/>
    <w:link w:val="32"/>
    <w:qFormat/>
    <w:uiPriority w:val="99"/>
  </w:style>
  <w:style w:type="character" w:customStyle="1" w:styleId="150">
    <w:name w:val="Body Text 3 Char"/>
    <w:basedOn w:val="136"/>
    <w:link w:val="18"/>
    <w:qFormat/>
    <w:uiPriority w:val="99"/>
    <w:rPr>
      <w:sz w:val="16"/>
      <w:szCs w:val="16"/>
    </w:rPr>
  </w:style>
  <w:style w:type="character" w:customStyle="1" w:styleId="151">
    <w:name w:val="Macro Text Char"/>
    <w:basedOn w:val="136"/>
    <w:link w:val="2"/>
    <w:qFormat/>
    <w:uiPriority w:val="99"/>
    <w:rPr>
      <w:rFonts w:ascii="Courier" w:hAnsi="Courier"/>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Quote Char"/>
    <w:basedOn w:val="136"/>
    <w:link w:val="152"/>
    <w:qFormat/>
    <w:uiPriority w:val="29"/>
    <w:rPr>
      <w:i/>
      <w:iCs/>
      <w:color w:val="000000" w:themeColor="text1"/>
      <w14:textFill>
        <w14:solidFill>
          <w14:schemeClr w14:val="tx1"/>
        </w14:solidFill>
      </w14:textFill>
    </w:rPr>
  </w:style>
  <w:style w:type="character" w:customStyle="1" w:styleId="154">
    <w:name w:val="Heading 4 Char"/>
    <w:basedOn w:val="136"/>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5">
    <w:name w:val="Heading 5 Char"/>
    <w:basedOn w:val="136"/>
    <w:link w:val="7"/>
    <w:semiHidden/>
    <w:qFormat/>
    <w:uiPriority w:val="9"/>
    <w:rPr>
      <w:rFonts w:asciiTheme="majorHAnsi" w:hAnsiTheme="majorHAnsi" w:eastAsiaTheme="majorEastAsia" w:cstheme="majorBidi"/>
      <w:color w:val="254061" w:themeColor="accent1" w:themeShade="80"/>
    </w:rPr>
  </w:style>
  <w:style w:type="character" w:customStyle="1" w:styleId="156">
    <w:name w:val="Heading 6 Char"/>
    <w:basedOn w:val="136"/>
    <w:link w:val="8"/>
    <w:semiHidden/>
    <w:qFormat/>
    <w:uiPriority w:val="9"/>
    <w:rPr>
      <w:rFonts w:asciiTheme="majorHAnsi" w:hAnsiTheme="majorHAnsi" w:eastAsiaTheme="majorEastAsia" w:cstheme="majorBidi"/>
      <w:i/>
      <w:iCs/>
      <w:color w:val="254061" w:themeColor="accent1" w:themeShade="80"/>
    </w:rPr>
  </w:style>
  <w:style w:type="character" w:customStyle="1" w:styleId="157">
    <w:name w:val="Heading 7 Char"/>
    <w:basedOn w:val="136"/>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8">
    <w:name w:val="Heading 8 Char"/>
    <w:basedOn w:val="136"/>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9">
    <w:name w:val="Heading 9 Char"/>
    <w:basedOn w:val="136"/>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0">
    <w:name w:val="Intense Quote"/>
    <w:basedOn w:val="1"/>
    <w:next w:val="1"/>
    <w:link w:val="16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1">
    <w:name w:val="Intense Quote Char"/>
    <w:basedOn w:val="136"/>
    <w:link w:val="160"/>
    <w:qFormat/>
    <w:uiPriority w:val="30"/>
    <w:rPr>
      <w:b/>
      <w:bCs/>
      <w:i/>
      <w:iCs/>
      <w:color w:val="4F81BD" w:themeColor="accent1"/>
      <w14:textFill>
        <w14:solidFill>
          <w14:schemeClr w14:val="accent1"/>
        </w14:solidFill>
      </w14:textFill>
    </w:rPr>
  </w:style>
  <w:style w:type="character" w:customStyle="1" w:styleId="162">
    <w:name w:val="Subtle Emphasis"/>
    <w:basedOn w:val="136"/>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Intense Emphasis"/>
    <w:basedOn w:val="136"/>
    <w:qFormat/>
    <w:uiPriority w:val="21"/>
    <w:rPr>
      <w:b/>
      <w:bCs/>
      <w:i/>
      <w:iCs/>
      <w:color w:val="4F81BD" w:themeColor="accent1"/>
      <w14:textFill>
        <w14:solidFill>
          <w14:schemeClr w14:val="accent1"/>
        </w14:solidFill>
      </w14:textFill>
    </w:rPr>
  </w:style>
  <w:style w:type="character" w:customStyle="1" w:styleId="164">
    <w:name w:val="Subtle Reference"/>
    <w:basedOn w:val="136"/>
    <w:qFormat/>
    <w:uiPriority w:val="31"/>
    <w:rPr>
      <w:smallCaps/>
      <w:color w:val="C0504D" w:themeColor="accent2"/>
      <w:u w:val="single"/>
      <w14:textFill>
        <w14:solidFill>
          <w14:schemeClr w14:val="accent2"/>
        </w14:solidFill>
      </w14:textFill>
    </w:rPr>
  </w:style>
  <w:style w:type="character" w:customStyle="1" w:styleId="165">
    <w:name w:val="Intense Reference"/>
    <w:basedOn w:val="136"/>
    <w:qFormat/>
    <w:uiPriority w:val="32"/>
    <w:rPr>
      <w:b/>
      <w:bCs/>
      <w:smallCaps/>
      <w:color w:val="C0504D" w:themeColor="accent2"/>
      <w:spacing w:val="5"/>
      <w:u w:val="single"/>
      <w14:textFill>
        <w14:solidFill>
          <w14:schemeClr w14:val="accent2"/>
        </w14:solidFill>
      </w14:textFill>
    </w:rPr>
  </w:style>
  <w:style w:type="character" w:customStyle="1" w:styleId="166">
    <w:name w:val="Book Title"/>
    <w:basedOn w:val="136"/>
    <w:qFormat/>
    <w:uiPriority w:val="33"/>
    <w:rPr>
      <w:b/>
      <w:bCs/>
      <w:smallCaps/>
      <w:spacing w:val="5"/>
    </w:rPr>
  </w:style>
  <w:style w:type="paragraph" w:customStyle="1" w:styleId="167">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3" Type="http://schemas.microsoft.com/office/2011/relationships/people" Target="people.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image" Target="media/image21.png"/><Relationship Id="rId3" Type="http://schemas.openxmlformats.org/officeDocument/2006/relationships/comments" Target="comment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85</Pages>
  <Words>58523</Words>
  <Characters>70003</Characters>
  <Lines>0</Lines>
  <Paragraphs>0</Paragraphs>
  <TotalTime>43</TotalTime>
  <ScaleCrop>false</ScaleCrop>
  <LinksUpToDate>false</LinksUpToDate>
  <CharactersWithSpaces>71654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Lisa</cp:lastModifiedBy>
  <dcterms:modified xsi:type="dcterms:W3CDTF">2026-09-05T04:30:09Z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47C0061360224D639B452337DED6D04F_13</vt:lpwstr>
  </property>
  <property fmtid="{D5CDD505-2E9C-101B-9397-08002B2CF9AE}" pid="4" name="KSOTemplateDocerSaveRecord">
    <vt:lpwstr>eyJoZGlkIjoiYmIyY2VlYzhhZDdkNDM1MjE3NzNmZWU5OTI0NTg5YjgiLCJ1c2VySWQiOiIzNDM1NTMxNTgifQ==</vt:lpwstr>
  </property>
</Properties>
</file>