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480" w:after="360"/>
        <w:jc w:val="center"/>
        <w:outlineLvl w:val="0"/>
      </w:pPr>
      <w:r>
        <w:rPr>
          <w:rFonts w:ascii="Times New Roman" w:hAnsi="Times New Roman" w:eastAsia="黑体"/>
          <w:b/>
          <w:sz w:val="32"/>
        </w:rPr>
        <w:t>数字化转型下A医药集团互联网医院服务流程优化研究</w:t>
      </w:r>
    </w:p>
    <w:p>
      <w:pPr>
        <w:spacing w:line="240" w:lineRule="auto" w:before="480" w:after="360"/>
        <w:jc w:val="center"/>
      </w:pPr>
      <w:r>
        <w:rPr>
          <w:rFonts w:ascii="Times New Roman" w:hAnsi="Times New Roman" w:eastAsia="黑体"/>
          <w:b/>
          <w:sz w:val="36"/>
        </w:rPr>
        <w:t>摘要</w:t>
      </w:r>
    </w:p>
    <w:p>
      <w:pPr>
        <w:spacing w:line="400" w:lineRule="exact" w:before="0" w:after="0"/>
        <w:ind w:firstLine="480"/>
        <w:jc w:val="both"/>
      </w:pPr>
      <w:r>
        <w:rPr>
          <w:rFonts w:ascii="Times New Roman" w:hAnsi="Times New Roman" w:eastAsia="宋体"/>
          <w:b w:val="0"/>
          <w:sz w:val="24"/>
        </w:rPr>
        <w:t>在数字经济与医疗健康产业深度融合的背景下，互联网医院作为“互联网+医疗健康”的新型服务形态发展迅速，但线上线下服务流程衔接不畅、多院区协同不足、运营数据利用水平偏低等问题，制约了其服务价值的充分释放：问诊可以在手机上完成，检查、取药却仍要回到线下，各院区各有一套系统，数据沉睡在平台里，很少被用来反观流程本身。如何在数字化转型背景下，诊断并优化互联网医院的服务流程，成为医疗集团亟待解决的现实课题。</w:t>
      </w:r>
    </w:p>
    <w:p>
      <w:pPr>
        <w:spacing w:line="400" w:lineRule="exact" w:before="0" w:after="0"/>
        <w:ind w:firstLine="480"/>
        <w:jc w:val="both"/>
      </w:pPr>
      <w:r>
        <w:rPr>
          <w:rFonts w:ascii="Times New Roman" w:hAnsi="Times New Roman" w:eastAsia="宋体"/>
          <w:b w:val="0"/>
          <w:sz w:val="24"/>
        </w:rPr>
        <w:t>本文以A医药集团互联网医院为样本，按“诊断→排序→设计→验证”的顺序展开。平台4年积累的一千余万条事件日志，为流程级诊断提供了难得的数据基础。诊断环节用过程分析法（Process Mining）从日志中还原真实流程，把断点定位到电子处方到线下检查、检查结果到复诊、药品配送“最后一公里”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本部为对照组开展试点，用双重差分（DID）估计方案的净效果，再以AHP综合评分给整体效果打分。</w:t>
      </w:r>
    </w:p>
    <w:p>
      <w:pPr>
        <w:spacing w:line="400" w:lineRule="exact" w:before="0" w:after="0"/>
        <w:ind w:firstLine="480"/>
        <w:jc w:val="both"/>
      </w:pPr>
      <w:r>
        <w:rPr>
          <w:rFonts w:ascii="Times New Roman" w:hAnsi="Times New Roman" w:eastAsia="宋体"/>
          <w:b w:val="0"/>
          <w:sz w:val="24"/>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DID净效果显著，表明指标改善确系优化方案的净效应；（4）基于AHP的优化效果综合评分显示，方案在瓶颈消除度与预期效果达成度两个维度改善最为突出，验证了“过程分析法+AHP+服务蓝图”整合方法论在多院区互联网医院流程优化中的有效性与可推广性。</w:t>
      </w:r>
    </w:p>
    <w:p>
      <w:pPr>
        <w:spacing w:line="400" w:lineRule="exact" w:before="0" w:after="0"/>
        <w:ind w:firstLine="480"/>
        <w:jc w:val="both"/>
      </w:pPr>
      <w:r>
        <w:rPr>
          <w:rFonts w:ascii="Times New Roman" w:hAnsi="Times New Roman" w:eastAsia="宋体"/>
          <w:b w:val="0"/>
          <w:sz w:val="24"/>
        </w:rPr>
        <w:t>方法上，本文把过程分析带进了“线上线下一体化+多院区协同”这一混合场景，弥补了既有研究偏重单一院区或单一方法的不足；对医药集团而言，“诊断→排序→设计→验证”这条路径可以整套复用，同类医疗机构的数字化转型也能从中找到参照。</w:t>
      </w:r>
    </w:p>
    <w:p>
      <w:pPr>
        <w:spacing w:line="400" w:lineRule="exact" w:before="0" w:after="0"/>
        <w:ind w:firstLine="480"/>
        <w:jc w:val="both"/>
      </w:pPr>
      <w:r>
        <w:rPr>
          <w:rFonts w:ascii="Times New Roman" w:hAnsi="Times New Roman" w:eastAsia="宋体"/>
          <w:b w:val="0"/>
          <w:sz w:val="24"/>
        </w:rPr>
        <w:t>关键词：  互联网医院；服务流程优化；过程分析法；层次分析法；服务蓝图；数字化转型</w:t>
      </w:r>
    </w:p>
    <w:p>
      <w:pPr>
        <w:spacing w:line="240" w:lineRule="auto" w:before="480" w:after="360"/>
        <w:jc w:val="center"/>
      </w:pPr>
      <w:r>
        <w:rPr>
          <w:rFonts w:ascii="Arial" w:hAnsi="Arial" w:eastAsia="Arial"/>
          <w:b/>
          <w:sz w:val="36"/>
        </w:rPr>
        <w:t>Abstract</w:t>
      </w:r>
    </w:p>
    <w:p>
      <w:pPr>
        <w:spacing w:line="400" w:lineRule="exact" w:before="0" w:after="0"/>
        <w:ind w:firstLine="480"/>
        <w:jc w:val="both"/>
      </w:pPr>
      <w:r>
        <w:rPr>
          <w:rFonts w:ascii="Times New Roman" w:hAnsi="Times New Roman" w:eastAsia="宋体"/>
          <w:b w:val="0"/>
          <w:sz w:val="24"/>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pPr>
        <w:spacing w:line="400" w:lineRule="exact" w:before="0" w:after="0"/>
        <w:ind w:firstLine="480"/>
        <w:jc w:val="both"/>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over 10 million operational event logs accumulated by the platform over four years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the headquarters of Hospital B as the control group, and a difference-in-differences (DID) analysis is conducted to verify the net effect of the optimization, complemented by an AHP-based comprehensive effect evaluation.</w:t>
      </w:r>
    </w:p>
    <w:p>
      <w:pPr>
        <w:spacing w:line="400" w:lineRule="exact" w:before="0" w:after="0"/>
        <w:ind w:firstLine="480"/>
        <w:jc w:val="both"/>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pPr>
        <w:spacing w:line="400" w:lineRule="exact" w:before="0" w:after="0"/>
        <w:ind w:firstLine="480"/>
        <w:jc w:val="both"/>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pPr>
        <w:spacing w:line="400" w:lineRule="exact" w:before="0" w:after="0"/>
        <w:ind w:firstLine="480"/>
        <w:jc w:val="both"/>
      </w:pPr>
      <w:r>
        <w:rPr>
          <w:rFonts w:ascii="Times New Roman" w:hAnsi="Times New Roman" w:eastAsia="宋体"/>
          <w:b w:val="0"/>
          <w:sz w:val="24"/>
        </w:rPr>
        <w:t>Keywords:  Internet Hospital; Service Process Optimization; Process Mining; Analytic Hierarchy Process; Service Blueprinting; Digital Transformation</w:t>
      </w:r>
    </w:p>
    <w:p>
      <w:r>
        <w:br w:type="page"/>
      </w:r>
    </w:p>
    <w:p>
      <w:pPr>
        <w:spacing w:line="240" w:lineRule="auto" w:before="480" w:after="360"/>
        <w:jc w:val="center"/>
      </w:pPr>
      <w:r>
        <w:rPr>
          <w:rFonts w:ascii="Times New Roman" w:hAnsi="Times New Roman" w:eastAsia="黑体"/>
          <w:b/>
          <w:sz w:val="32"/>
        </w:rPr>
        <w:t>目录</w:t>
      </w:r>
    </w:p>
    <w:p>
      <w:r>
        <w:fldChar w:fldCharType="begin" w:dirty="true"/>
      </w:r>
      <w:r>
        <w:instrText xml:space="preserve"> TOC \o "1-3" \h \z \u </w:instrText>
      </w:r>
      <w:r>
        <w:fldChar w:fldCharType="separate"/>
      </w:r>
      <w:r>
        <w:rPr>
          <w:sz w:val="24"/>
        </w:rPr>
        <w:t>（目录域：在 Word 中右键此处 → 更新域 → 更新整个目录）</w:t>
      </w:r>
      <w:r>
        <w:fldChar w:fldCharType="end"/>
      </w:r>
    </w:p>
    <w:p>
      <w:pPr>
        <w:spacing w:line="240" w:lineRule="auto" w:before="480" w:after="360"/>
        <w:jc w:val="center"/>
        <w:outlineLvl w:val="0"/>
      </w:pPr>
      <w:r>
        <w:rPr>
          <w:rFonts w:ascii="Times New Roman" w:hAnsi="Times New Roman" w:eastAsia="黑体"/>
          <w:b/>
          <w:sz w:val="32"/>
        </w:rPr>
        <w:t>第一章　绪论</w:t>
      </w:r>
    </w:p>
    <w:p>
      <w:pPr>
        <w:spacing w:line="240" w:lineRule="auto" w:before="480" w:after="120"/>
        <w:jc w:val="center"/>
        <w:outlineLvl w:val="1"/>
      </w:pPr>
      <w:r>
        <w:rPr>
          <w:rFonts w:ascii="Times New Roman" w:hAnsi="Times New Roman" w:eastAsia="黑体"/>
          <w:b/>
          <w:sz w:val="28"/>
        </w:rPr>
        <w:t>第一节　研究背景</w:t>
      </w:r>
    </w:p>
    <w:p>
      <w:pPr>
        <w:spacing w:line="240" w:lineRule="auto" w:before="240" w:after="120"/>
        <w:ind w:firstLine="520"/>
        <w:outlineLvl w:val="2"/>
      </w:pPr>
      <w:r>
        <w:rPr>
          <w:rFonts w:ascii="Times New Roman" w:hAnsi="Times New Roman" w:eastAsia="黑体"/>
          <w:b/>
          <w:sz w:val="26"/>
        </w:rPr>
        <w:t>一、数字化转型与医疗健康产业变革</w:t>
      </w:r>
    </w:p>
    <w:p>
      <w:pPr>
        <w:spacing w:line="400" w:lineRule="exact" w:before="0" w:after="0"/>
        <w:ind w:firstLine="480"/>
        <w:jc w:val="both"/>
      </w:pPr>
      <w:r>
        <w:rPr>
          <w:rFonts w:ascii="Times New Roman" w:hAnsi="Times New Roman" w:eastAsia="宋体"/>
          <w:b w:val="0"/>
          <w:sz w:val="24"/>
        </w:rPr>
        <w:t>信息技术改造传统产业的进程，已从趋势判断变成了行业现实，医疗健康正是其中推进较快、政策密度较高的领域之一。自2018年国务院发布《关于促进“互联网+医疗健康”发展的意见》（国办发〔2018〕26号）以来，国家层面陆续出台了一系列政策文件，包括《关于完善“互联网+”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医保支付方式改革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pPr>
        <w:spacing w:line="400" w:lineRule="exact" w:before="0" w:after="0"/>
        <w:ind w:firstLine="480"/>
        <w:jc w:val="both"/>
      </w:pPr>
      <w:r>
        <w:rPr>
          <w:rFonts w:ascii="Times New Roman" w:hAnsi="Times New Roman" w:eastAsia="宋体"/>
          <w:b w:val="0"/>
          <w:sz w:val="24"/>
        </w:rPr>
        <w:t>政策与技术两股力量叠加，导致互联网医院的数量增长异常迅速：根据国家卫健委公布的数据，截至2026年上半年，全国互联网医院已突破3200家，覆盖了绝大多数的三级公立医院；国家医保电子处方中心已实现31个省（自治区、直辖市）和新疆生产建设兵团的全覆盖与互联互通，接入超7万家定点医疗机构和超27万家定点零售药店。数字的另一面是运营管理的短板。不少互联网医院建成之后的使用率远不及预期，“建而不用”、“重建轻管”的声音时常见诸研究（公雪，郭蕊，2025）。平台的搭建只是起点，把它真正用好，才是决定互联网医院能否持续运转的关键。</w:t>
      </w:r>
    </w:p>
    <w:p>
      <w:pPr>
        <w:spacing w:line="400" w:lineRule="exact" w:before="0" w:after="0"/>
        <w:ind w:firstLine="480"/>
        <w:jc w:val="both"/>
      </w:pPr>
      <w:r>
        <w:rPr>
          <w:rFonts w:ascii="Times New Roman" w:hAnsi="Times New Roman" w:eastAsia="宋体"/>
          <w:b w:val="0"/>
          <w:sz w:val="24"/>
        </w:rPr>
        <w:t>从学术研究的角度来看，现有文献对互联网医院的研究常集中在技术架构、功能模块和政策制度三部分，真正围绕服务流程本身展开的系统研究并不多。医药集团的多医疗机构、多院区格局更是盲区：线上线下流程如何衔接、跨机构和院区如何协同、沉淀的运营数据如何反哺管理，这些核心问题还缺少理论与实践紧密结合的回答。技术升级从来只是数字化转型的表层，组织流程、服务模式和管理范式随之改变的深度，才决定转型的成败——线上问诊若与线下检查、取药脱节，患者线上就医的割裂感只会比转型之前更重。互联网医院的流程优化，也因此必须当作一个管理问题来系统研究，而不仅是当作技术问题处理。</w:t>
      </w:r>
    </w:p>
    <w:p>
      <w:pPr>
        <w:spacing w:line="240" w:lineRule="auto" w:before="240" w:after="120"/>
        <w:ind w:firstLine="520"/>
        <w:outlineLvl w:val="2"/>
      </w:pPr>
      <w:r>
        <w:rPr>
          <w:rFonts w:ascii="Times New Roman" w:hAnsi="Times New Roman" w:eastAsia="黑体"/>
          <w:b/>
          <w:sz w:val="26"/>
        </w:rPr>
        <w:t>二、互联网医院的发展现状与挑战</w:t>
      </w:r>
    </w:p>
    <w:p>
      <w:pPr>
        <w:spacing w:line="400" w:lineRule="exact" w:before="0" w:after="0"/>
        <w:ind w:firstLine="480"/>
        <w:jc w:val="both"/>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结合在一起，线上线下深度融合，成为全球医疗整合的标杆（李皓月等，2025）；英国NHS则在数字化转型战略下，把在线预约、视频问诊、电子处方整合进统一的数字管理平台。两条路径的成功均给出了相同的结论：平台能不能撑起服务，取决于背后的流程设计、组织变革和制度安排，而不是平台本身。</w:t>
      </w:r>
    </w:p>
    <w:p>
      <w:pPr>
        <w:spacing w:line="400" w:lineRule="exact" w:before="0" w:after="0"/>
        <w:ind w:firstLine="480"/>
        <w:jc w:val="both"/>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机构、多院区的线上线下一体化服务。</w:t>
      </w:r>
    </w:p>
    <w:p>
      <w:pPr>
        <w:spacing w:line="400" w:lineRule="exact" w:before="0" w:after="0"/>
        <w:ind w:firstLine="480"/>
        <w:jc w:val="both"/>
      </w:pPr>
      <w:r>
        <w:rPr>
          <w:rFonts w:ascii="Times New Roman" w:hAnsi="Times New Roman" w:eastAsia="宋体"/>
          <w:b w:val="0"/>
          <w:sz w:val="24"/>
        </w:rPr>
        <w:t>当前，我国互联网医院面临的主要挑战可以概括为三个方面：第一，线上线下服务流程的衔接中存在明显的“断点”，线上开具的电子处方与线下的检查、取药等环节之间的信息不同步和流程不衔接，导致未能真正实现线上线下一体化。第二，多院区之间的协同管理困难——同一集团的不同机构、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而并没有被系统地用于流程诊断和优化决策。过程分析法正是把这类运营日志变成流程洞察的可行路径（Rojas等，2016）。</w:t>
      </w:r>
    </w:p>
    <w:p>
      <w:pPr>
        <w:spacing w:line="240" w:lineRule="auto" w:before="240" w:after="120"/>
        <w:ind w:firstLine="520"/>
        <w:outlineLvl w:val="2"/>
      </w:pPr>
      <w:r>
        <w:rPr>
          <w:rFonts w:ascii="Times New Roman" w:hAnsi="Times New Roman" w:eastAsia="黑体"/>
          <w:b/>
          <w:sz w:val="26"/>
        </w:rPr>
        <w:t>三、A医药集团互联网医院的建设背景</w:t>
      </w:r>
    </w:p>
    <w:p>
      <w:pPr>
        <w:spacing w:line="400" w:lineRule="exact" w:before="0" w:after="0"/>
        <w:ind w:firstLine="480"/>
        <w:jc w:val="both"/>
      </w:pPr>
      <w:r>
        <w:rPr>
          <w:rFonts w:ascii="Times New Roman" w:hAnsi="Times New Roman" w:eastAsia="宋体"/>
          <w:b w:val="0"/>
          <w:sz w:val="24"/>
        </w:rPr>
        <w:t>A医药集团是国内医药流通及医疗服务领域的领先企业之一，已形成覆盖医药研发与流通、药品分销、零售药房、医疗器械和医疗服务等多业务板块的产业布局。集团旗下拥有多家三级甲等综合医院、二级医院、专科医院和社区服务站，分布于多个省市。为整合旗下医院资源、提升医疗服务效率，A医药集团投资建设了统一的互联网医院平台。该平台于2022年6月正式运行，2023年4月启动处方流转业务。截至2026年5月，平台已签约合作药店1000余家，处方流转续方累计达60余万单，平台注册患者用户超九十万。</w:t>
      </w:r>
    </w:p>
    <w:p>
      <w:pPr>
        <w:spacing w:line="400" w:lineRule="exact" w:before="0" w:after="0"/>
        <w:ind w:firstLine="480"/>
        <w:jc w:val="both"/>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建设厂商及版本各不相同，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pPr>
        <w:spacing w:line="240" w:lineRule="auto" w:before="480" w:after="120"/>
        <w:jc w:val="center"/>
        <w:outlineLvl w:val="1"/>
      </w:pPr>
      <w:r>
        <w:rPr>
          <w:rFonts w:ascii="Times New Roman" w:hAnsi="Times New Roman" w:eastAsia="黑体"/>
          <w:b/>
          <w:sz w:val="28"/>
        </w:rPr>
        <w:t>第二节　研究问题与意义</w:t>
      </w:r>
    </w:p>
    <w:p>
      <w:pPr>
        <w:spacing w:line="240" w:lineRule="auto" w:before="240" w:after="120"/>
        <w:ind w:firstLine="520"/>
        <w:outlineLvl w:val="2"/>
      </w:pPr>
      <w:r>
        <w:rPr>
          <w:rFonts w:ascii="Times New Roman" w:hAnsi="Times New Roman" w:eastAsia="黑体"/>
          <w:b/>
          <w:sz w:val="26"/>
        </w:rPr>
        <w:t>一、核心研究问题的提出</w:t>
      </w:r>
    </w:p>
    <w:p>
      <w:pPr>
        <w:spacing w:line="400" w:lineRule="exact" w:before="0" w:after="0"/>
        <w:ind w:firstLine="480"/>
        <w:jc w:val="both"/>
      </w:pPr>
      <w:r>
        <w:rPr>
          <w:rFonts w:ascii="Times New Roman" w:hAnsi="Times New Roman" w:eastAsia="宋体"/>
          <w:b w:val="0"/>
          <w:sz w:val="24"/>
        </w:rPr>
        <w:t>在A医药集团互联网医院的运营实践中，以下三个相互关联的问题构成了本研究的核心关注点。</w:t>
      </w:r>
    </w:p>
    <w:p>
      <w:pPr>
        <w:spacing w:line="400" w:lineRule="exact" w:before="0" w:after="0"/>
        <w:ind w:firstLine="480"/>
        <w:jc w:val="both"/>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检验检查预约系统与互联网医院平台之间无数据接口）、检查结果到复诊的信息回路断点（PACS影像系统与平台之间的数据传输未完全自动化）和药品配送的“最后一公里”问题。</w:t>
      </w:r>
    </w:p>
    <w:p>
      <w:pPr>
        <w:spacing w:line="400" w:lineRule="exact" w:before="0" w:after="0"/>
        <w:ind w:firstLine="480"/>
        <w:jc w:val="both"/>
      </w:pPr>
      <w:r>
        <w:rPr>
          <w:rFonts w:ascii="Times New Roman" w:hAnsi="Times New Roman" w:eastAsia="宋体"/>
          <w:b w:val="0"/>
          <w:sz w:val="24"/>
        </w:rPr>
        <w:t>第二个问题是多院区之间的协同障碍。A医药集团旗下多家医院在地理分布、信息系统和管理标准等方面存在差异。不同院区使用不同厂商或不同版本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pPr>
        <w:spacing w:line="400" w:lineRule="exact" w:before="0" w:after="0"/>
        <w:ind w:firstLine="480"/>
        <w:jc w:val="both"/>
      </w:pPr>
      <w:r>
        <w:rPr>
          <w:rFonts w:ascii="Times New Roman" w:hAnsi="Times New Roman" w:eastAsia="宋体"/>
          <w:b w:val="0"/>
          <w:sz w:val="24"/>
        </w:rPr>
        <w:t>第三个问题是运营数据未被有效利用。A医药集团的互联网医院平台在运营过程中积累了一千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pPr>
        <w:spacing w:line="400" w:lineRule="exact" w:before="0" w:after="0"/>
        <w:ind w:firstLine="480"/>
        <w:jc w:val="both"/>
      </w:pPr>
      <w:r>
        <w:rPr>
          <w:rFonts w:ascii="Times New Roman" w:hAnsi="Times New Roman" w:eastAsia="宋体"/>
          <w:b w:val="0"/>
          <w:sz w:val="24"/>
        </w:rPr>
        <w:t>三个问题并非孤立存在而是相互关联并互相强化：流程断点问题要靠流程重新设计来弥合，多院区协同依赖跨组织协调机制，数据利用则指向分析与决策方法的更新，而它们又互相牵动。归结起来看：在数字化转型背景下，需要为A医药集团这样的多院区场景设计一套数据驱动的服务流程优化方案，把流程效率提上去，把患者体验补回来。</w:t>
      </w:r>
    </w:p>
    <w:p>
      <w:pPr>
        <w:spacing w:line="240" w:lineRule="auto" w:before="240" w:after="120"/>
        <w:ind w:firstLine="520"/>
        <w:outlineLvl w:val="2"/>
      </w:pPr>
      <w:r>
        <w:rPr>
          <w:rFonts w:ascii="Times New Roman" w:hAnsi="Times New Roman" w:eastAsia="黑体"/>
          <w:b/>
          <w:sz w:val="26"/>
        </w:rPr>
        <w:t>二、理论意义</w:t>
      </w:r>
    </w:p>
    <w:p>
      <w:pPr>
        <w:spacing w:line="400" w:lineRule="exact" w:before="0" w:after="0"/>
        <w:ind w:firstLine="480"/>
        <w:jc w:val="both"/>
      </w:pPr>
      <w:r>
        <w:rPr>
          <w:rFonts w:ascii="Times New Roman" w:hAnsi="Times New Roman" w:eastAsia="宋体"/>
          <w:b w:val="0"/>
          <w:sz w:val="24"/>
        </w:rPr>
        <w:t>本研究的理论贡献集中在三处。</w:t>
      </w:r>
    </w:p>
    <w:p>
      <w:pPr>
        <w:spacing w:line="400" w:lineRule="exact" w:before="0" w:after="0"/>
        <w:ind w:firstLine="480"/>
        <w:jc w:val="both"/>
      </w:pPr>
      <w:r>
        <w:rPr>
          <w:rFonts w:ascii="Times New Roman" w:hAnsi="Times New Roman" w:eastAsia="宋体"/>
          <w:b w:val="0"/>
          <w:sz w:val="24"/>
        </w:rPr>
        <w:t>其一，把过程分析法与AHP接成“诊断→评价→优化→验证”的完整链条。现有的医疗服务流程优化研究多沿用精益医疗等改进范式（Samanta等，2023），诊断环节靠经验和定性分析，精确性与客观性难免受限。本文先用过程分析法从一千余万条事件日志里提取客观的流程信息，再把排序问题交给AHP：前者回答“有哪些瓶颈、有多严重”，后者回答“该先解决哪个”，流程优化由此从经验驱动转为数据驱动。</w:t>
      </w:r>
    </w:p>
    <w:p>
      <w:pPr>
        <w:spacing w:line="400" w:lineRule="exact" w:before="0" w:after="0"/>
        <w:ind w:firstLine="480"/>
        <w:jc w:val="both"/>
      </w:pPr>
      <w:r>
        <w:rPr>
          <w:rFonts w:ascii="Times New Roman" w:hAnsi="Times New Roman" w:eastAsia="宋体"/>
          <w:b w:val="0"/>
          <w:sz w:val="24"/>
        </w:rPr>
        <w:t>其二，把服务蓝图法拓展到多院区互联网医院这一复杂服务场景。现有蓝图研究多停留在单一场景的建模，对跨组织、跨系统的复合服务场景讨论仍不足（Voorheis等，2025）。本文以A医药集团为案例，绘制患者行为、后台操作、系统支持三层蓝图，标出跨院区断点与信息孤岛的位置，为蓝图在复杂组织场景中的应用积累了一个建模实例。</w:t>
      </w:r>
    </w:p>
    <w:p>
      <w:pPr>
        <w:spacing w:line="400" w:lineRule="exact" w:before="0" w:after="0"/>
        <w:ind w:firstLine="480"/>
        <w:jc w:val="both"/>
      </w:pPr>
      <w:r>
        <w:rPr>
          <w:rFonts w:ascii="Times New Roman" w:hAnsi="Times New Roman" w:eastAsia="宋体"/>
          <w:b w:val="0"/>
          <w:sz w:val="24"/>
        </w:rPr>
        <w:t>其三，形成一套适用于互联网医院多院区场景的流程优化方法论框架。框架没有发明新工具，而是把过程分析法、AHP、服务蓝图法和准实验法沿“诊断—排序—设计—验证”的研究链条系统串联；除互联网医院外，面临类似多场所、多渠道协同问题的服务组织亦可参照。</w:t>
      </w:r>
    </w:p>
    <w:p>
      <w:pPr>
        <w:spacing w:line="240" w:lineRule="auto" w:before="240" w:after="120"/>
        <w:ind w:firstLine="520"/>
        <w:outlineLvl w:val="2"/>
      </w:pPr>
      <w:r>
        <w:rPr>
          <w:rFonts w:ascii="Times New Roman" w:hAnsi="Times New Roman" w:eastAsia="黑体"/>
          <w:b/>
          <w:sz w:val="26"/>
        </w:rPr>
        <w:t>三、实践意义</w:t>
      </w:r>
    </w:p>
    <w:p>
      <w:pPr>
        <w:spacing w:line="400" w:lineRule="exact" w:before="0" w:after="0"/>
        <w:ind w:firstLine="480"/>
        <w:jc w:val="both"/>
      </w:pPr>
      <w:r>
        <w:rPr>
          <w:rFonts w:ascii="Times New Roman" w:hAnsi="Times New Roman" w:eastAsia="宋体"/>
          <w:b w:val="0"/>
          <w:sz w:val="24"/>
        </w:rPr>
        <w:t>实践层面的价值有三点。</w:t>
      </w:r>
    </w:p>
    <w:p>
      <w:pPr>
        <w:spacing w:line="400" w:lineRule="exact" w:before="0" w:after="0"/>
        <w:ind w:firstLine="480"/>
        <w:jc w:val="both"/>
      </w:pPr>
      <w:r>
        <w:rPr>
          <w:rFonts w:ascii="Times New Roman" w:hAnsi="Times New Roman" w:eastAsia="宋体"/>
          <w:b w:val="0"/>
          <w:sz w:val="24"/>
        </w:rPr>
        <w:t>对A医药集团而言，本文给出一套可落地的优化方案：先用过程分析法识别出六大瓶颈——处方检查衔接断点、信息孤岛、检查复诊回路、标准不统一、配送“最后一公里”、数据利用不足，再用AHP排出改进先后（B1得分0.215最高、B6得分0.125最低），据此设计一体化流程再造、多院区协同机制和智能质控体系三个维度的方案。试点结果显示，接诊等待时间减少32.5%、检查预约至完成周期缩短29.1%、患者整体满意度提升13.2%，直接服务于集团“用好平台”的战略目标。</w:t>
      </w:r>
    </w:p>
    <w:p>
      <w:pPr>
        <w:spacing w:line="400" w:lineRule="exact" w:before="0" w:after="0"/>
        <w:ind w:firstLine="480"/>
        <w:jc w:val="both"/>
      </w:pPr>
      <w:r>
        <w:rPr>
          <w:rFonts w:ascii="Times New Roman" w:hAnsi="Times New Roman" w:eastAsia="宋体"/>
          <w:b w:val="0"/>
          <w:sz w:val="24"/>
        </w:rPr>
        <w:t>对同类机构而言，“数据诊断→AHP排序→蓝图设计→准实验验证”的四步路线不绑定特定系统，技术路线与分析框架可整体移植，其他医疗集团推进流程改进时少走弯路的余地因此大一些。</w:t>
      </w:r>
    </w:p>
    <w:p>
      <w:pPr>
        <w:spacing w:line="400" w:lineRule="exact" w:before="0" w:after="0"/>
        <w:ind w:firstLine="480"/>
        <w:jc w:val="both"/>
      </w:pPr>
      <w:r>
        <w:rPr>
          <w:rFonts w:ascii="Times New Roman" w:hAnsi="Times New Roman" w:eastAsia="宋体"/>
          <w:b w:val="0"/>
          <w:sz w:val="24"/>
        </w:rPr>
        <w:t>对管理者而言，本文还示范了存量数据的用法：多数互联网医院都已积累诊疗数据，却很少用于流程诊断；这里展示的路径不依赖昂贵的外部咨询或大规模系统改造，实施门槛并不高。</w:t>
      </w:r>
    </w:p>
    <w:p>
      <w:pPr>
        <w:spacing w:line="240" w:lineRule="auto" w:before="480" w:after="120"/>
        <w:jc w:val="center"/>
        <w:outlineLvl w:val="1"/>
      </w:pPr>
      <w:r>
        <w:rPr>
          <w:rFonts w:ascii="Times New Roman" w:hAnsi="Times New Roman" w:eastAsia="黑体"/>
          <w:b/>
          <w:sz w:val="28"/>
        </w:rPr>
        <w:t>第三节　研究内容与方法</w:t>
      </w:r>
    </w:p>
    <w:p>
      <w:pPr>
        <w:spacing w:line="240" w:lineRule="auto" w:before="240" w:after="120"/>
        <w:ind w:firstLine="520"/>
        <w:outlineLvl w:val="2"/>
      </w:pPr>
      <w:r>
        <w:rPr>
          <w:rFonts w:ascii="Times New Roman" w:hAnsi="Times New Roman" w:eastAsia="黑体"/>
          <w:b/>
          <w:sz w:val="26"/>
        </w:rPr>
        <w:t>一、研究内容与技术路线</w:t>
      </w:r>
    </w:p>
    <w:p>
      <w:pPr>
        <w:spacing w:line="400" w:lineRule="exact" w:before="0" w:after="0"/>
        <w:ind w:firstLine="480"/>
        <w:jc w:val="both"/>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p>
    <w:p>
      <w:pPr>
        <w:spacing w:line="400" w:lineRule="exact" w:before="0" w:after="0"/>
        <w:ind w:firstLine="480"/>
        <w:jc w:val="both"/>
      </w:pPr>
      <w:r>
        <w:rPr>
          <w:rFonts w:ascii="Times New Roman" w:hAnsi="Times New Roman" w:eastAsia="宋体"/>
          <w:b w:val="0"/>
          <w:sz w:val="24"/>
        </w:rPr>
        <w:t>第一阶段为现状诊断与理论基础。通过文献调研学习，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pPr>
        <w:spacing w:line="400" w:lineRule="exact" w:before="0" w:after="0"/>
        <w:ind w:firstLine="480"/>
        <w:jc w:val="both"/>
      </w:pPr>
      <w:r>
        <w:rPr>
          <w:rFonts w:ascii="Times New Roman" w:hAnsi="Times New Roman" w:eastAsia="宋体"/>
          <w:b w:val="0"/>
          <w:sz w:val="24"/>
        </w:rPr>
        <w:t>第二阶段为流程诊断与优先级评价。运用过程分析法从一千余万条事件日志中客观发现实际流程模型，识别瓶颈环节和异常变体（第四章第二节）。运用AHP方法构建瓶颈改进优先级评价模型，建立判断矩阵并进行一致性检验，确定各瓶颈的综合排序（第四章第三节）。</w:t>
      </w:r>
    </w:p>
    <w:p>
      <w:pPr>
        <w:spacing w:line="400" w:lineRule="exact" w:before="0" w:after="0"/>
        <w:ind w:firstLine="480"/>
        <w:jc w:val="both"/>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五章第二节）。选取试点院区实施优化方案，运用准实验方法对比优化前后的关键绩效指标变化，评估优化效果并进行AHP综合评分（第五章第三节）。</w:t>
      </w:r>
    </w:p>
    <w:p>
      <w:pPr>
        <w:spacing w:line="400" w:lineRule="exact" w:before="0" w:after="0"/>
        <w:ind w:firstLine="480"/>
        <w:jc w:val="both"/>
      </w:pPr>
      <w:r>
        <w:rPr>
          <w:rFonts w:ascii="Times New Roman" w:hAnsi="Times New Roman" w:eastAsia="宋体"/>
          <w:b w:val="0"/>
          <w:sz w:val="24"/>
        </w:rPr>
        <w:t>第四阶段为结论提炼。总结研究发现，阐述理论贡献和管理启示，指出研究局限和未来展望（第六章）。</w:t>
      </w:r>
    </w:p>
    <w:p>
      <w:pPr>
        <w:jc w:val="center"/>
      </w:pPr>
      <w:r>
        <w:drawing>
          <wp:inline xmlns:a="http://schemas.openxmlformats.org/drawingml/2006/main" xmlns:pic="http://schemas.openxmlformats.org/drawingml/2006/picture">
            <wp:extent cx="5040000" cy="2826944"/>
            <wp:docPr id="1" name="Picture 1"/>
            <wp:cNvGraphicFramePr>
              <a:graphicFrameLocks noChangeAspect="1"/>
            </wp:cNvGraphicFramePr>
            <a:graphic>
              <a:graphicData uri="http://schemas.openxmlformats.org/drawingml/2006/picture">
                <pic:pic>
                  <pic:nvPicPr>
                    <pic:cNvPr id="0" name="图1.1-研究技术路线图.png"/>
                    <pic:cNvPicPr/>
                  </pic:nvPicPr>
                  <pic:blipFill>
                    <a:blip r:embed="rId11"/>
                    <a:stretch>
                      <a:fillRect/>
                    </a:stretch>
                  </pic:blipFill>
                  <pic:spPr>
                    <a:xfrm>
                      <a:off x="0" y="0"/>
                      <a:ext cx="5040000" cy="2826944"/>
                    </a:xfrm>
                    <a:prstGeom prst="rect"/>
                  </pic:spPr>
                </pic:pic>
              </a:graphicData>
            </a:graphic>
          </wp:inline>
        </w:drawing>
      </w:r>
    </w:p>
    <w:p>
      <w:pPr>
        <w:spacing w:line="240" w:lineRule="auto" w:before="120" w:after="240"/>
        <w:jc w:val="center"/>
      </w:pPr>
      <w:r>
        <w:rPr>
          <w:rFonts w:ascii="Times New Roman" w:hAnsi="Times New Roman" w:eastAsia="宋体"/>
          <w:b w:val="0"/>
          <w:sz w:val="21"/>
        </w:rPr>
        <w:t>图1.1　研究技术路线图</w:t>
      </w:r>
    </w:p>
    <w:p>
      <w:pPr>
        <w:spacing w:line="240" w:lineRule="auto" w:before="240" w:after="120"/>
        <w:ind w:firstLine="520"/>
        <w:outlineLvl w:val="2"/>
      </w:pPr>
      <w:r>
        <w:rPr>
          <w:rFonts w:ascii="Times New Roman" w:hAnsi="Times New Roman" w:eastAsia="黑体"/>
          <w:b/>
          <w:sz w:val="26"/>
        </w:rPr>
        <w:t>二、研究方法</w:t>
      </w:r>
    </w:p>
    <w:p>
      <w:pPr>
        <w:spacing w:line="400" w:lineRule="exact" w:before="0" w:after="0"/>
        <w:ind w:firstLine="480"/>
        <w:jc w:val="both"/>
      </w:pPr>
      <w:r>
        <w:rPr>
          <w:rFonts w:ascii="Times New Roman" w:hAnsi="Times New Roman" w:eastAsia="宋体"/>
          <w:b w:val="0"/>
          <w:sz w:val="24"/>
        </w:rPr>
        <w:t>本研究综合运用了五种研究方法，形成了定性与定量相结合、数据驱动与专家判断相补充的方法体系。</w:t>
      </w:r>
    </w:p>
    <w:p>
      <w:pPr>
        <w:spacing w:line="240" w:lineRule="auto" w:before="240" w:after="120"/>
        <w:ind w:firstLine="480"/>
        <w:outlineLvl w:val="3"/>
      </w:pPr>
      <w:r>
        <w:rPr>
          <w:rFonts w:ascii="Times New Roman" w:hAnsi="Times New Roman" w:eastAsia="黑体"/>
          <w:b/>
          <w:sz w:val="24"/>
        </w:rPr>
        <w:t>（一）文献研究法。系统梳理了互联网医院、服务流程优化、过程分析法、层次分析法、服务蓝图和数字化转型等领域的国内外文献，用来为本研究提供理论基础和方法论支撑。文献综述重点关注CSSCI和北大核心期刊文献，兼顾SCI/SSCI来源的高质量英文文献，确保理论深度和学术严谨性。</w:t>
      </w:r>
    </w:p>
    <w:p>
      <w:pPr>
        <w:spacing w:line="240" w:lineRule="auto" w:before="240" w:after="120"/>
        <w:ind w:firstLine="480"/>
        <w:outlineLvl w:val="3"/>
      </w:pPr>
      <w:r>
        <w:rPr>
          <w:rFonts w:ascii="Times New Roman" w:hAnsi="Times New Roman" w:eastAsia="黑体"/>
          <w:b/>
          <w:sz w:val="24"/>
        </w:rPr>
        <w:t>（二）过程分析法（Process Mining）。本文的流程诊断靠它完成。基于A医药集团统一管理平台的一千余万条事件日志数据，运用Pm4py开源工具和Inductive Miner算法生成实际流程模型，通过变体分析识别高频路径和异常路径，通过定量指标体系（平均处理时间、平均等待时间、流转次数、返工率）定位瓶颈环节。过程分析法在本研究中的应用实现了流程诊断从主观经验判断到客观数据驱动的升级。</w:t>
      </w:r>
    </w:p>
    <w:p>
      <w:pPr>
        <w:spacing w:line="240" w:lineRule="auto" w:before="240" w:after="120"/>
        <w:ind w:firstLine="480"/>
        <w:outlineLvl w:val="3"/>
      </w:pPr>
      <w:r>
        <w:rPr>
          <w:rFonts w:ascii="Times New Roman" w:hAnsi="Times New Roman" w:eastAsia="黑体"/>
          <w:b/>
          <w:sz w:val="24"/>
        </w:rPr>
        <w:t>（三）层次分析法（AHP）。瓶颈先改哪个，由它排序。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0.10）确保判断矩阵的逻辑一致性，最终加权得出各瓶颈的综合优先级排序。AHP方法在本研究中的应用解决了“在多约束条件下如何科学排序”的决策问题。</w:t>
      </w:r>
    </w:p>
    <w:p>
      <w:pPr>
        <w:spacing w:line="240" w:lineRule="auto" w:before="240" w:after="120"/>
        <w:ind w:firstLine="480"/>
        <w:outlineLvl w:val="3"/>
      </w:pPr>
      <w:r>
        <w:rPr>
          <w:rFonts w:ascii="Times New Roman" w:hAnsi="Times New Roman" w:eastAsia="黑体"/>
          <w:b/>
          <w:sz w:val="24"/>
        </w:rPr>
        <w:t>（四）服务蓝图法。负责把流程画清楚、把断点标出来。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pPr>
        <w:spacing w:line="240" w:lineRule="auto" w:before="240" w:after="120"/>
        <w:ind w:firstLine="480"/>
        <w:outlineLvl w:val="3"/>
      </w:pPr>
      <w:r>
        <w:rPr>
          <w:rFonts w:ascii="Times New Roman" w:hAnsi="Times New Roman" w:eastAsia="黑体"/>
          <w:b/>
          <w:sz w:val="24"/>
        </w:rPr>
        <w:t>（五）准实验法。方案有没有效，最终由它检验。采用“前测—后测非等组设计”，以医院A为实验组（实施优化方案）、医院B本部为对照组（维持原流程不变），以前测期（优化前三个月）和后测期（优化后三个月）的数据为基础，运用双重差分法（Difference-in-Differences）评估优化方案对流程效率、资源利用率和患者体验等KPI的净效果。</w:t>
      </w:r>
    </w:p>
    <w:p>
      <w:pPr>
        <w:jc w:val="center"/>
      </w:pPr>
      <w:r>
        <w:drawing>
          <wp:inline xmlns:a="http://schemas.openxmlformats.org/drawingml/2006/main" xmlns:pic="http://schemas.openxmlformats.org/drawingml/2006/picture">
            <wp:extent cx="5040000" cy="2580102"/>
            <wp:docPr id="2" name="Picture 2"/>
            <wp:cNvGraphicFramePr>
              <a:graphicFrameLocks noChangeAspect="1"/>
            </wp:cNvGraphicFramePr>
            <a:graphic>
              <a:graphicData uri="http://schemas.openxmlformats.org/drawingml/2006/picture">
                <pic:pic>
                  <pic:nvPicPr>
                    <pic:cNvPr id="0" name="图1.2-研究方法体系框架.png"/>
                    <pic:cNvPicPr/>
                  </pic:nvPicPr>
                  <pic:blipFill>
                    <a:blip r:embed="rId12"/>
                    <a:stretch>
                      <a:fillRect/>
                    </a:stretch>
                  </pic:blipFill>
                  <pic:spPr>
                    <a:xfrm>
                      <a:off x="0" y="0"/>
                      <a:ext cx="5040000" cy="2580102"/>
                    </a:xfrm>
                    <a:prstGeom prst="rect"/>
                  </pic:spPr>
                </pic:pic>
              </a:graphicData>
            </a:graphic>
          </wp:inline>
        </w:drawing>
      </w:r>
    </w:p>
    <w:p>
      <w:pPr>
        <w:spacing w:line="240" w:lineRule="auto" w:before="120" w:after="240"/>
        <w:jc w:val="center"/>
      </w:pPr>
      <w:r>
        <w:rPr>
          <w:rFonts w:ascii="Times New Roman" w:hAnsi="Times New Roman" w:eastAsia="宋体"/>
          <w:b w:val="0"/>
          <w:sz w:val="21"/>
        </w:rPr>
        <w:t>图1.2　研究方法体系框架</w:t>
      </w:r>
    </w:p>
    <w:p>
      <w:pPr>
        <w:spacing w:line="240" w:lineRule="auto" w:before="240" w:after="120"/>
        <w:ind w:firstLine="520"/>
        <w:outlineLvl w:val="2"/>
      </w:pPr>
      <w:r>
        <w:rPr>
          <w:rFonts w:ascii="Times New Roman" w:hAnsi="Times New Roman" w:eastAsia="黑体"/>
          <w:b/>
          <w:sz w:val="26"/>
        </w:rPr>
        <w:t>三、本研究解决的关键问题</w:t>
      </w:r>
    </w:p>
    <w:p>
      <w:pPr>
        <w:spacing w:line="400" w:lineRule="exact" w:before="0" w:after="0"/>
        <w:ind w:firstLine="480"/>
        <w:jc w:val="both"/>
      </w:pPr>
      <w:r>
        <w:rPr>
          <w:rFonts w:ascii="Times New Roman" w:hAnsi="Times New Roman" w:eastAsia="宋体"/>
          <w:b w:val="0"/>
          <w:sz w:val="24"/>
        </w:rPr>
        <w:t>对于第二节提出的三大核心研究问题，本研究给出了对应的解决方案。</w:t>
      </w:r>
    </w:p>
    <w:p>
      <w:pPr>
        <w:spacing w:line="400" w:lineRule="exact" w:before="0" w:after="0"/>
        <w:ind w:firstLine="480"/>
        <w:jc w:val="both"/>
      </w:pPr>
      <w:r>
        <w:rPr>
          <w:rFonts w:ascii="Times New Roman" w:hAnsi="Times New Roman" w:eastAsia="宋体"/>
          <w:b w:val="0"/>
          <w:sz w:val="24"/>
        </w:rPr>
        <w:t>针对问题一（流程断点），本研究解决了“如何精确识别和系统优化线上线下衔接断点”的问题。通过过程分析法从一千余万条事件日志中客观识别出六个主要流程瓶颈，设计了涵盖问诊检查闭环、处方取药链路、智能分导诊和信息同步保障四个子方案的线上线下一体化的流程再造方案。准实验结果表明，优化方案使接诊等待时间减少32.5%，检查预约至完成周期缩短29.1%，返工率下降2.3个百分点。</w:t>
      </w:r>
    </w:p>
    <w:p>
      <w:pPr>
        <w:spacing w:line="400" w:lineRule="exact" w:before="0" w:after="0"/>
        <w:ind w:firstLine="480"/>
        <w:jc w:val="both"/>
      </w:pPr>
      <w:r>
        <w:rPr>
          <w:rFonts w:ascii="Times New Roman" w:hAnsi="Times New Roman" w:eastAsia="宋体"/>
          <w:b w:val="0"/>
          <w:sz w:val="24"/>
        </w:rPr>
        <w:t>针对问题二（多院区协同障碍），本研究解决了“如何设计跨院区协同机制用于消除信息孤岛”的问题。设计了包含统一患者身份标识、跨院区资源调度转诊和集中化质控与分布式执行三个层次的协同机制方案。方案实施后，跨院区检查预约占比从0%提升至8.3%，检查设备日均利用率从62%提升至71%，初步验证了协同机制的可行性和有效性。</w:t>
      </w:r>
    </w:p>
    <w:p>
      <w:pPr>
        <w:spacing w:line="400" w:lineRule="exact" w:before="0" w:after="0"/>
        <w:ind w:firstLine="480"/>
        <w:jc w:val="both"/>
      </w:pPr>
      <w:r>
        <w:rPr>
          <w:rFonts w:ascii="Times New Roman" w:hAnsi="Times New Roman" w:eastAsia="宋体"/>
          <w:b w:val="0"/>
          <w:sz w:val="24"/>
        </w:rPr>
        <w:t>针对问题三（数据利用不足），本研究解决了“如何将平台运营数据转化为流程改进决策依据”的问题。构建了“Process Mining（客观诊断）+ AHP（科学排序）+ 服务蓝图（可视化建模）+ 准实验（效果验证）”的方法论框架，并基于此设计了数据驱动的实时流程监控看板和异常预警机制，建立了“数据诊断→方案调整→效果验证→再优化”的PDCA持续改进循环。</w:t>
      </w:r>
    </w:p>
    <w:p>
      <w:pPr>
        <w:spacing w:line="240" w:lineRule="auto" w:before="480" w:after="120"/>
        <w:jc w:val="center"/>
        <w:outlineLvl w:val="1"/>
      </w:pPr>
      <w:r>
        <w:rPr>
          <w:rFonts w:ascii="Times New Roman" w:hAnsi="Times New Roman" w:eastAsia="黑体"/>
          <w:b/>
          <w:sz w:val="28"/>
        </w:rPr>
        <w:t>第四节　论文结构安排</w:t>
      </w:r>
    </w:p>
    <w:p>
      <w:pPr>
        <w:spacing w:line="400" w:lineRule="exact" w:before="0" w:after="0"/>
        <w:ind w:firstLine="480"/>
        <w:jc w:val="both"/>
      </w:pPr>
      <w:r>
        <w:rPr>
          <w:rFonts w:ascii="Times New Roman" w:hAnsi="Times New Roman" w:eastAsia="宋体"/>
          <w:b w:val="0"/>
          <w:sz w:val="24"/>
        </w:rPr>
        <w:t>本论文全文共六章，各章内容安排如下。</w:t>
      </w:r>
    </w:p>
    <w:p>
      <w:pPr>
        <w:spacing w:line="400" w:lineRule="exact" w:before="0" w:after="0"/>
        <w:ind w:firstLine="480"/>
        <w:jc w:val="both"/>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pPr>
        <w:spacing w:line="400" w:lineRule="exact" w:before="0" w:after="0"/>
        <w:ind w:firstLine="480"/>
        <w:jc w:val="both"/>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pPr>
        <w:spacing w:line="400" w:lineRule="exact" w:before="0" w:after="0"/>
        <w:ind w:firstLine="480"/>
        <w:jc w:val="both"/>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pPr>
        <w:spacing w:line="400" w:lineRule="exact" w:before="0" w:after="0"/>
        <w:ind w:firstLine="480"/>
        <w:jc w:val="both"/>
      </w:pPr>
      <w:r>
        <w:rPr>
          <w:rFonts w:ascii="Times New Roman" w:hAnsi="Times New Roman" w:eastAsia="宋体"/>
          <w:b w:val="0"/>
          <w:sz w:val="24"/>
        </w:rPr>
        <w:t>第四章为服务流程诊断与瓶颈优先级评价。回答“瓶颈在哪、先改哪个”。研究设计部分阐述过程分析法（事件日志提取、流程模型生成、变体分析与瓶颈识别）与AHP方法（层次结构、判断矩阵、一致性检验、权重排序）的应用方案；数据分析与流程诊断部分基于一千余万条事件日志进行流程发现和瓶颈定量分析；AHP瓶颈优先级评价部分构建判断矩阵并确定六瓶颈的综合排序。</w:t>
      </w:r>
    </w:p>
    <w:p>
      <w:pPr>
        <w:spacing w:line="400" w:lineRule="exact" w:before="0" w:after="0"/>
        <w:ind w:firstLine="480"/>
        <w:jc w:val="both"/>
      </w:pPr>
      <w:r>
        <w:rPr>
          <w:rFonts w:ascii="Times New Roman" w:hAnsi="Times New Roman" w:eastAsia="宋体"/>
          <w:b w:val="0"/>
          <w:sz w:val="24"/>
        </w:rPr>
        <w:t>第五章为服务蓝图优化方案设计与效果验证。回答“如何改、效果如何”。研究设计部分阐述服务蓝图法与准实验法的应用方案；服务蓝图与优化方案部分绘制现状服务蓝图（含日志诊断结论到蓝图环节的映射）和优化后服务蓝图，提出包含四个子方案的线上线下一体化流程再造方案、多院区协同机制和数据驱动的智能质控体系三大优化方案；试点验证与效果评估部分通过准实验DID方法和AHP综合评分对优化效果进行定量评估。</w:t>
      </w:r>
    </w:p>
    <w:p>
      <w:pPr>
        <w:spacing w:line="400" w:lineRule="exact" w:before="0" w:after="0"/>
        <w:ind w:firstLine="480"/>
        <w:jc w:val="both"/>
      </w:pPr>
      <w:r>
        <w:rPr>
          <w:rFonts w:ascii="Times New Roman" w:hAnsi="Times New Roman" w:eastAsia="宋体"/>
          <w:b w:val="0"/>
          <w:sz w:val="24"/>
        </w:rPr>
        <w:t>第六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pPr>
        <w:spacing w:line="240" w:lineRule="auto" w:before="480" w:after="360"/>
        <w:jc w:val="center"/>
        <w:outlineLvl w:val="0"/>
      </w:pPr>
      <w:r>
        <w:rPr>
          <w:rFonts w:ascii="Times New Roman" w:hAnsi="Times New Roman" w:eastAsia="黑体"/>
          <w:b/>
          <w:sz w:val="32"/>
        </w:rPr>
        <w:t>第二章　文献综述与理论基础</w:t>
      </w:r>
    </w:p>
    <w:p>
      <w:pPr>
        <w:spacing w:line="400" w:lineRule="exact" w:before="0" w:after="0"/>
        <w:ind w:firstLine="480"/>
        <w:jc w:val="both"/>
      </w:pPr>
      <w:r>
        <w:rPr>
          <w:rFonts w:ascii="Times New Roman" w:hAnsi="Times New Roman" w:eastAsia="宋体"/>
          <w:b w:val="0"/>
          <w:sz w:val="24"/>
        </w:rPr>
        <w:t>本章的文献梳理分三块展开：互联网医院本身的研究、服务流程优化的方法理论、数字化转型理论。在此基础之上，梳理的落点在于评述现有研究做到了哪一步，还缺什么，以及明确本研究的理论定位和研究缺口。</w:t>
      </w:r>
    </w:p>
    <w:p>
      <w:pPr>
        <w:spacing w:line="240" w:lineRule="auto" w:before="480" w:after="120"/>
        <w:jc w:val="center"/>
        <w:outlineLvl w:val="1"/>
      </w:pPr>
      <w:r>
        <w:rPr>
          <w:rFonts w:ascii="Times New Roman" w:hAnsi="Times New Roman" w:eastAsia="黑体"/>
          <w:b/>
          <w:sz w:val="28"/>
        </w:rPr>
        <w:t>第一节　互联网医院相关研究</w:t>
      </w:r>
    </w:p>
    <w:p>
      <w:pPr>
        <w:spacing w:line="240" w:lineRule="auto" w:before="240" w:after="120"/>
        <w:ind w:firstLine="520"/>
        <w:outlineLvl w:val="2"/>
      </w:pPr>
      <w:r>
        <w:rPr>
          <w:rFonts w:ascii="Times New Roman" w:hAnsi="Times New Roman" w:eastAsia="黑体"/>
          <w:b/>
          <w:sz w:val="26"/>
        </w:rPr>
        <w:t>一、互联网医院的概念与演进</w:t>
      </w:r>
    </w:p>
    <w:p>
      <w:pPr>
        <w:spacing w:line="400" w:lineRule="exact" w:before="0" w:after="0"/>
        <w:ind w:firstLine="480"/>
        <w:jc w:val="both"/>
      </w:pPr>
      <w:r>
        <w:rPr>
          <w:rFonts w:ascii="Times New Roman" w:hAnsi="Times New Roman" w:eastAsia="宋体"/>
          <w:b w:val="0"/>
          <w:sz w:val="24"/>
        </w:rPr>
        <w:t>现有研究对互联网医院的界定已比较一致：它以实体医疗机构为依托，把在线诊疗、电子处方、药品配送、检查预约和慢病管理等服务搬到线上完成（张宇希，胡建平，2024）。真正值得注意的变化在服务形态本身——医患交流从“面对面”转为“屏对屏”后，传统线下服务所受的时间与空间约束被大幅放松，这也正是流程问题得以暴露的前提。</w:t>
      </w:r>
    </w:p>
    <w:p>
      <w:pPr>
        <w:spacing w:line="400" w:lineRule="exact" w:before="0" w:after="0"/>
        <w:ind w:firstLine="480"/>
        <w:jc w:val="both"/>
      </w:pPr>
      <w:r>
        <w:rPr>
          <w:rFonts w:ascii="Times New Roman" w:hAnsi="Times New Roman" w:eastAsia="宋体"/>
          <w:b w:val="0"/>
          <w:sz w:val="24"/>
        </w:rPr>
        <w:t>从近几年我国互联网医院的发展脉络来看，大致经过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的阶段，关注的焦点从“有没有”转向“好不好”。</w:t>
      </w:r>
    </w:p>
    <w:p>
      <w:pPr>
        <w:jc w:val="center"/>
      </w:pPr>
      <w:r>
        <w:drawing>
          <wp:inline xmlns:a="http://schemas.openxmlformats.org/drawingml/2006/main" xmlns:pic="http://schemas.openxmlformats.org/drawingml/2006/picture">
            <wp:extent cx="5040000" cy="3113774"/>
            <wp:docPr id="3" name="Picture 3"/>
            <wp:cNvGraphicFramePr>
              <a:graphicFrameLocks noChangeAspect="1"/>
            </wp:cNvGraphicFramePr>
            <a:graphic>
              <a:graphicData uri="http://schemas.openxmlformats.org/drawingml/2006/picture">
                <pic:pic>
                  <pic:nvPicPr>
                    <pic:cNvPr id="0" name="图2.1-互联网医院三阶段演进图.png"/>
                    <pic:cNvPicPr/>
                  </pic:nvPicPr>
                  <pic:blipFill>
                    <a:blip r:embed="rId13"/>
                    <a:stretch>
                      <a:fillRect/>
                    </a:stretch>
                  </pic:blipFill>
                  <pic:spPr>
                    <a:xfrm>
                      <a:off x="0" y="0"/>
                      <a:ext cx="5040000" cy="3113774"/>
                    </a:xfrm>
                    <a:prstGeom prst="rect"/>
                  </pic:spPr>
                </pic:pic>
              </a:graphicData>
            </a:graphic>
          </wp:inline>
        </w:drawing>
      </w:r>
    </w:p>
    <w:p>
      <w:pPr>
        <w:spacing w:line="240" w:lineRule="auto" w:before="120" w:after="240"/>
        <w:jc w:val="center"/>
      </w:pPr>
      <w:r>
        <w:rPr>
          <w:rFonts w:ascii="Times New Roman" w:hAnsi="Times New Roman" w:eastAsia="宋体"/>
          <w:b w:val="0"/>
          <w:sz w:val="21"/>
        </w:rPr>
        <w:t>图2.1　互联网医院三阶段演进</w:t>
      </w:r>
    </w:p>
    <w:p>
      <w:pPr>
        <w:spacing w:line="400" w:lineRule="exact" w:before="0" w:after="0"/>
        <w:ind w:firstLine="480"/>
        <w:jc w:val="both"/>
      </w:pPr>
      <w:r>
        <w:rPr>
          <w:rFonts w:ascii="Times New Roman" w:hAnsi="Times New Roman" w:eastAsia="宋体"/>
          <w:b w:val="0"/>
          <w:sz w:val="24"/>
        </w:rPr>
        <w:t>运营模式上，我国互联网医院主要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医疗机构资源，为患者提供便捷的线上就医服务。本研究关注的A医药集团互联网医院即属于第三类模式。</w:t>
      </w:r>
    </w:p>
    <w:p>
      <w:pPr>
        <w:spacing w:line="400" w:lineRule="exact" w:before="0" w:after="0"/>
        <w:ind w:firstLine="480"/>
        <w:jc w:val="both"/>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从而实现了预防、诊疗到康复的全流程闭环管理。英国的国民健康服务体系（NHS）则通过数字转型战略建立了统一的在线服务平台（NHS App），实现了全科医生在线预约、复诊患者在线续方以及健康档案在线查询等功能。这些国际经验表明，互联网医疗的成功不仅依赖技术平台的先进程度，更依赖配套的组织设计、流程再造和制度创新。</w:t>
      </w:r>
    </w:p>
    <w:p>
      <w:pPr>
        <w:spacing w:line="240" w:lineRule="auto" w:before="240" w:after="120"/>
        <w:ind w:firstLine="520"/>
        <w:outlineLvl w:val="2"/>
      </w:pPr>
      <w:r>
        <w:rPr>
          <w:rFonts w:ascii="Times New Roman" w:hAnsi="Times New Roman" w:eastAsia="黑体"/>
          <w:b/>
          <w:sz w:val="26"/>
        </w:rPr>
        <w:t>二、互联网医院运营模式研究</w:t>
      </w:r>
    </w:p>
    <w:p>
      <w:pPr>
        <w:spacing w:line="400" w:lineRule="exact" w:before="0" w:after="0"/>
        <w:ind w:firstLine="480"/>
        <w:jc w:val="both"/>
      </w:pPr>
      <w:r>
        <w:rPr>
          <w:rFonts w:ascii="Times New Roman" w:hAnsi="Times New Roman" w:eastAsia="宋体"/>
          <w:b w:val="0"/>
          <w:sz w:val="24"/>
        </w:rPr>
        <w:t>现有文献多围绕互联网医院的运营模式进行讨论，主要集中在三大部分：服务流程设计、盈利模式以及线上线下如何融合。</w:t>
      </w:r>
    </w:p>
    <w:p>
      <w:pPr>
        <w:spacing w:line="400" w:lineRule="exact" w:before="0" w:after="0"/>
        <w:ind w:firstLine="480"/>
        <w:jc w:val="both"/>
      </w:pPr>
      <w:r>
        <w:rPr>
          <w:rFonts w:ascii="Times New Roman" w:hAnsi="Times New Roman" w:eastAsia="宋体"/>
          <w:b w:val="0"/>
          <w:sz w:val="24"/>
        </w:rPr>
        <w:t>服务流程设计方面，Han等（2024）基于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pPr>
        <w:spacing w:line="400" w:lineRule="exact" w:before="0" w:after="0"/>
        <w:ind w:firstLine="480"/>
        <w:jc w:val="both"/>
      </w:pPr>
      <w:r>
        <w:rPr>
          <w:rFonts w:ascii="Times New Roman" w:hAnsi="Times New Roman" w:eastAsia="宋体"/>
          <w:b w:val="0"/>
          <w:sz w:val="24"/>
        </w:rPr>
        <w:t>盈利模式以及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pPr>
        <w:spacing w:line="400" w:lineRule="exact" w:before="0" w:after="0"/>
        <w:ind w:firstLine="480"/>
        <w:jc w:val="both"/>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大主题，指出数字技术的落地需要与组织变革和管理调整协同推进，才能真正转化为运营效率和服务质量的提升。这一研究图景为理解互联网医院线上线下一体化与多院区协同管理的复杂性提供了整体性的分析视角。</w:t>
      </w:r>
    </w:p>
    <w:p>
      <w:pPr>
        <w:spacing w:line="240" w:lineRule="auto" w:before="240" w:after="120"/>
        <w:ind w:firstLine="520"/>
        <w:outlineLvl w:val="2"/>
      </w:pPr>
      <w:r>
        <w:rPr>
          <w:rFonts w:ascii="Times New Roman" w:hAnsi="Times New Roman" w:eastAsia="黑体"/>
          <w:b/>
          <w:sz w:val="26"/>
        </w:rPr>
        <w:t>三、互联网医院服务质量与效率研究</w:t>
      </w:r>
    </w:p>
    <w:p>
      <w:pPr>
        <w:spacing w:line="400" w:lineRule="exact" w:before="0" w:after="0"/>
        <w:ind w:firstLine="480"/>
        <w:jc w:val="both"/>
      </w:pPr>
      <w:r>
        <w:rPr>
          <w:rFonts w:ascii="Times New Roman" w:hAnsi="Times New Roman" w:eastAsia="宋体"/>
          <w:b w:val="0"/>
          <w:sz w:val="24"/>
        </w:rPr>
        <w:t>服务质量和服务效率是互联网医院管理绕不开的两个变量，相关研究已经积累了不少。</w:t>
      </w:r>
    </w:p>
    <w:p>
      <w:pPr>
        <w:spacing w:line="400" w:lineRule="exact" w:before="0" w:after="0"/>
        <w:ind w:firstLine="480"/>
        <w:jc w:val="both"/>
      </w:pPr>
      <w:r>
        <w:rPr>
          <w:rFonts w:ascii="Times New Roman" w:hAnsi="Times New Roman" w:eastAsia="宋体"/>
          <w:b w:val="0"/>
          <w:sz w:val="24"/>
        </w:rPr>
        <w:t>对于服务质量评价，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速度、药品配送顺畅程度、随访及回访的跟进程度等）。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pPr>
        <w:spacing w:line="400" w:lineRule="exact" w:before="0" w:after="0"/>
        <w:ind w:firstLine="480"/>
        <w:jc w:val="both"/>
      </w:pPr>
      <w:r>
        <w:rPr>
          <w:rFonts w:ascii="Times New Roman" w:hAnsi="Times New Roman" w:eastAsia="宋体"/>
          <w:b w:val="0"/>
          <w:sz w:val="24"/>
        </w:rPr>
        <w:t>在服务效率评价方面，传统路径依赖描述性统计指标，比如月在线问诊量、处方开具量、药品配送成功率之类。然而这些数字只看得到服务产出的结果，流程内部跑得顺不顺，它们回答不了。我们更应该转向过程导向的分析方法，从事件日志里挖掘效率信息。Rojas等（2016）对过程分析法（Process Mining）在医疗健康领域的应用进行了系统的文献综述，梳理了该方法在医院流程监控、临床路径分析、急诊流程优化等场景中的典型应用，指出既有研究以线下医疗机构内部流程为主，对线上线下相融合的医疗服务场景关注不足。这一综述表明，将过程分析法应用于互联网医院服务流程、特别是多院区协同的复杂场景，有很大的待开拓的研究空间。</w:t>
      </w:r>
    </w:p>
    <w:p>
      <w:pPr>
        <w:spacing w:line="400" w:lineRule="exact" w:before="0" w:after="0"/>
        <w:ind w:firstLine="480"/>
        <w:jc w:val="both"/>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pPr>
        <w:spacing w:line="240" w:lineRule="auto" w:before="480" w:after="120"/>
        <w:jc w:val="center"/>
        <w:outlineLvl w:val="1"/>
      </w:pPr>
      <w:r>
        <w:rPr>
          <w:rFonts w:ascii="Times New Roman" w:hAnsi="Times New Roman" w:eastAsia="黑体"/>
          <w:b/>
          <w:sz w:val="28"/>
        </w:rPr>
        <w:t>第二节　服务流程优化理论</w:t>
      </w:r>
    </w:p>
    <w:p>
      <w:pPr>
        <w:spacing w:line="240" w:lineRule="auto" w:before="240" w:after="120"/>
        <w:ind w:firstLine="520"/>
        <w:outlineLvl w:val="2"/>
      </w:pPr>
      <w:r>
        <w:rPr>
          <w:rFonts w:ascii="Times New Roman" w:hAnsi="Times New Roman" w:eastAsia="黑体"/>
          <w:b/>
          <w:sz w:val="26"/>
        </w:rPr>
        <w:t>一、服务蓝图理论</w:t>
      </w:r>
    </w:p>
    <w:p>
      <w:pPr>
        <w:spacing w:line="400" w:lineRule="exact" w:before="0" w:after="0"/>
        <w:ind w:firstLine="480"/>
        <w:jc w:val="both"/>
      </w:pPr>
      <w:r>
        <w:rPr>
          <w:rFonts w:ascii="Times New Roman" w:hAnsi="Times New Roman" w:eastAsia="宋体"/>
          <w:b w:val="0"/>
          <w:sz w:val="24"/>
        </w:rPr>
        <w:t>服务蓝图最早由Shostack（1984）提出，用意是把原本“看不见”的服务过程画出来：纵向将流程分为前台、后台与支持过程三层，再以互动线、可视线、内部互动线三条线界定各层的边界与衔接。借助这套画法，服务交付中谁在哪一步做什么、顾客能看到哪些环节，第一次有了结构化的呈现方式。</w:t>
      </w:r>
    </w:p>
    <w:p>
      <w:pPr>
        <w:spacing w:line="400" w:lineRule="exact" w:before="0" w:after="0"/>
        <w:ind w:firstLine="480"/>
        <w:jc w:val="both"/>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与本文的分析对象契合度很高：互联网医院的服务流程从患者接触数字平台那一刻就开始，而非始于与医护人员的面对面接触。本章对该综述的讨论，为第六章所述服务蓝图法向复杂数字服务场景拓展的贡献提供了直接的文献铺垫。</w:t>
      </w:r>
    </w:p>
    <w:p>
      <w:pPr>
        <w:jc w:val="center"/>
      </w:pPr>
      <w:r>
        <w:drawing>
          <wp:inline xmlns:a="http://schemas.openxmlformats.org/drawingml/2006/main" xmlns:pic="http://schemas.openxmlformats.org/drawingml/2006/picture">
            <wp:extent cx="5040000" cy="2628000"/>
            <wp:docPr id="4" name="Picture 4"/>
            <wp:cNvGraphicFramePr>
              <a:graphicFrameLocks noChangeAspect="1"/>
            </wp:cNvGraphicFramePr>
            <a:graphic>
              <a:graphicData uri="http://schemas.openxmlformats.org/drawingml/2006/picture">
                <pic:pic>
                  <pic:nvPicPr>
                    <pic:cNvPr id="0" name="图2.2-服务蓝图三层结构示意图.png"/>
                    <pic:cNvPicPr/>
                  </pic:nvPicPr>
                  <pic:blipFill>
                    <a:blip r:embed="rId14"/>
                    <a:stretch>
                      <a:fillRect/>
                    </a:stretch>
                  </pic:blipFill>
                  <pic:spPr>
                    <a:xfrm>
                      <a:off x="0" y="0"/>
                      <a:ext cx="5040000" cy="2628000"/>
                    </a:xfrm>
                    <a:prstGeom prst="rect"/>
                  </pic:spPr>
                </pic:pic>
              </a:graphicData>
            </a:graphic>
          </wp:inline>
        </w:drawing>
      </w:r>
    </w:p>
    <w:p>
      <w:pPr>
        <w:spacing w:line="240" w:lineRule="auto" w:before="120" w:after="240"/>
        <w:jc w:val="center"/>
      </w:pPr>
      <w:r>
        <w:rPr>
          <w:rFonts w:ascii="Times New Roman" w:hAnsi="Times New Roman" w:eastAsia="宋体"/>
          <w:b w:val="0"/>
          <w:sz w:val="21"/>
        </w:rPr>
        <w:t>图2.2　服务蓝图三层结构示例</w:t>
      </w:r>
    </w:p>
    <w:p>
      <w:pPr>
        <w:spacing w:line="400" w:lineRule="exact" w:before="0" w:after="0"/>
        <w:ind w:firstLine="480"/>
        <w:jc w:val="both"/>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pPr>
        <w:spacing w:line="240" w:lineRule="auto" w:before="240" w:after="120"/>
        <w:ind w:firstLine="520"/>
        <w:outlineLvl w:val="2"/>
      </w:pPr>
      <w:r>
        <w:rPr>
          <w:rFonts w:ascii="Times New Roman" w:hAnsi="Times New Roman" w:eastAsia="黑体"/>
          <w:b/>
          <w:sz w:val="26"/>
        </w:rPr>
        <w:t>二、流程挖掘</w:t>
      </w:r>
    </w:p>
    <w:p>
      <w:pPr>
        <w:spacing w:line="400" w:lineRule="exact" w:before="0" w:after="0"/>
        <w:ind w:firstLine="480"/>
        <w:jc w:val="both"/>
      </w:pPr>
      <w:r>
        <w:rPr>
          <w:rFonts w:ascii="Times New Roman" w:hAnsi="Times New Roman" w:eastAsia="宋体"/>
          <w:b w:val="0"/>
          <w:sz w:val="24"/>
        </w:rPr>
        <w:t>流程挖掘由Van der Aalst（2011）系统阐述：以信息系统留下的事件日志为材料，自动发现、监控并改进业务流程。与依赖访谈和经验去“描述”流程的传统做法不同，它从数据中反推实际运行的流程，结论因而更贴近业务的真实状态，这也是本文选择它做诊断工具的原因。</w:t>
      </w:r>
    </w:p>
    <w:p>
      <w:pPr>
        <w:spacing w:line="400" w:lineRule="exact" w:before="0" w:after="0"/>
        <w:ind w:firstLine="480"/>
        <w:jc w:val="both"/>
      </w:pPr>
      <w:r>
        <w:rPr>
          <w:rFonts w:ascii="Times New Roman" w:hAnsi="Times New Roman" w:eastAsia="宋体"/>
          <w:b w:val="0"/>
          <w:sz w:val="24"/>
        </w:rPr>
        <w:t>过程分析法包含三种基本类型。一是流程发现：从事件日志中自动生成流程模型，无需事先假定流程的结构，典型算法有Alpha Miner、Heuristic Miner和Inductive Miner，结果多以Petri网、过程树或BPMN流程图呈现。二是一致性检查：把实际发生的事件日志与预先设定的理想流程模型放在一起对比，量化两者的吻合程度，并定位偏离发生在哪个环节。三是流程增强：基于日志中的时间和资源信息扩展、优化流程模型，比如标注每个活动的平均处理时间、找出瓶颈位置、预测流程完成时间。</w:t>
      </w:r>
    </w:p>
    <w:p>
      <w:pPr>
        <w:spacing w:line="400" w:lineRule="exact" w:before="0" w:after="0"/>
        <w:ind w:firstLine="480"/>
        <w:jc w:val="both"/>
      </w:pPr>
      <w:r>
        <w:rPr>
          <w:rFonts w:ascii="Times New Roman" w:hAnsi="Times New Roman" w:eastAsia="宋体"/>
          <w:b w:val="0"/>
          <w:sz w:val="24"/>
        </w:rPr>
        <w:t>过程分析法的应用前提是事件日志数据必须满足最低的结构要求，即每条事件记录必须包含案例标识、活动名称和时间戳这三个基本字段。本研究的数据基础是A集团统一管理平台的一千余万条事件日志数据，能够充分满足上述要求，为过程分析法的应用提供了数据前提。</w:t>
      </w:r>
    </w:p>
    <w:p>
      <w:pPr>
        <w:spacing w:line="400" w:lineRule="exact" w:before="0" w:after="0"/>
        <w:ind w:firstLine="480"/>
        <w:jc w:val="both"/>
      </w:pPr>
      <w:r>
        <w:rPr>
          <w:rFonts w:ascii="Times New Roman" w:hAnsi="Times New Roman" w:eastAsia="宋体"/>
          <w:b w:val="0"/>
          <w:sz w:val="24"/>
        </w:rPr>
        <w:t>回到医疗领域，过程分析法已经出现在住院流程、急诊流程和手术排程等场景的分析中。Samanta等（2023）对精益医疗实施研究进行了系统文献综述，基于对Web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六章所述方法论贡献的提出提供了文献依据。</w:t>
      </w:r>
    </w:p>
    <w:p>
      <w:pPr>
        <w:spacing w:line="240" w:lineRule="auto" w:before="240" w:after="120"/>
        <w:ind w:firstLine="520"/>
        <w:outlineLvl w:val="2"/>
      </w:pPr>
      <w:r>
        <w:rPr>
          <w:rFonts w:ascii="Times New Roman" w:hAnsi="Times New Roman" w:eastAsia="黑体"/>
          <w:b/>
          <w:sz w:val="26"/>
        </w:rPr>
        <w:t>三、层次分析法（AHP）与网络层次分析法（ANP）</w:t>
      </w:r>
    </w:p>
    <w:p>
      <w:pPr>
        <w:spacing w:line="400" w:lineRule="exact" w:before="0" w:after="0"/>
        <w:ind w:firstLine="480"/>
        <w:jc w:val="both"/>
      </w:pPr>
      <w:r>
        <w:rPr>
          <w:rFonts w:ascii="Times New Roman" w:hAnsi="Times New Roman" w:eastAsia="宋体"/>
          <w:b w:val="0"/>
          <w:sz w:val="24"/>
        </w:rPr>
        <w:t>层次分析法（Analytic Hierarchy Process，AHP）由Saaty（1980）提出，基本思路是把复杂决策问题逐层分解为目标、准则、方案三个层次，请决策者对同层因素作两两比较，再由特征向量计算得出排序权重。</w:t>
      </w:r>
    </w:p>
    <w:p>
      <w:pPr>
        <w:spacing w:line="400" w:lineRule="exact" w:before="0" w:after="0"/>
        <w:ind w:firstLine="480"/>
        <w:jc w:val="both"/>
      </w:pPr>
      <w:r>
        <w:rPr>
          <w:rFonts w:ascii="Times New Roman" w:hAnsi="Times New Roman" w:eastAsia="宋体"/>
          <w:b w:val="0"/>
          <w:sz w:val="24"/>
        </w:rPr>
        <w:t>具体程序较为固定：建层次结构，按1-9标度（1表示同等重要，9表示极端重要）构造判断矩阵，求权重，做一致性检验（CR &lt; 0.10，不通过则回头修正赋值），最后层次总排序得到综合优先级。</w:t>
      </w:r>
    </w:p>
    <w:p>
      <w:pPr>
        <w:spacing w:line="400" w:lineRule="exact" w:before="0" w:after="0"/>
        <w:ind w:firstLine="480"/>
        <w:jc w:val="both"/>
      </w:pPr>
      <w:r>
        <w:rPr>
          <w:rFonts w:ascii="Times New Roman" w:hAnsi="Times New Roman" w:eastAsia="宋体"/>
          <w:b w:val="0"/>
          <w:sz w:val="24"/>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pPr>
        <w:spacing w:line="400" w:lineRule="exact" w:before="0" w:after="0"/>
        <w:ind w:firstLine="480"/>
        <w:jc w:val="both"/>
      </w:pPr>
      <w:r>
        <w:rPr>
          <w:rFonts w:ascii="Times New Roman" w:hAnsi="Times New Roman" w:eastAsia="宋体"/>
          <w:b w:val="0"/>
          <w:sz w:val="24"/>
        </w:rPr>
        <w:t>在国内医疗管理领域，AHP方法已被广泛应用于医疗质量评价、医院绩效评估和医疗资源配置优化等方面。但是将AHP与过程分析法相结合，用于互联网医院流程瓶颈的优先级评价，是本研究的一个方法论创新。两者结合的逻辑在于：过程分析法从客观数据中识别出“有哪些瓶颈”，AHP则提供一个系统性的框架来判断“应该先解决哪些瓶颈”。</w:t>
      </w:r>
    </w:p>
    <w:p>
      <w:pPr>
        <w:spacing w:line="240" w:lineRule="auto" w:before="240" w:after="120"/>
        <w:ind w:firstLine="520"/>
        <w:outlineLvl w:val="2"/>
      </w:pPr>
      <w:r>
        <w:rPr>
          <w:rFonts w:ascii="Times New Roman" w:hAnsi="Times New Roman" w:eastAsia="黑体"/>
          <w:b/>
          <w:sz w:val="26"/>
        </w:rPr>
        <w:t>四、精益服务与六西格玛</w:t>
      </w:r>
    </w:p>
    <w:p>
      <w:pPr>
        <w:spacing w:line="400" w:lineRule="exact" w:before="0" w:after="0"/>
        <w:ind w:firstLine="480"/>
        <w:jc w:val="both"/>
      </w:pPr>
      <w:r>
        <w:rPr>
          <w:rFonts w:ascii="Times New Roman" w:hAnsi="Times New Roman" w:eastAsia="宋体"/>
          <w:b w:val="0"/>
          <w:sz w:val="24"/>
        </w:rPr>
        <w:t>精益服务把精益生产的原则移植到服务业：消除浪费、持续改进、一切从顾客价值出发。在医疗领域，精益医疗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pPr>
        <w:spacing w:line="400" w:lineRule="exact" w:before="0" w:after="0"/>
        <w:ind w:firstLine="480"/>
        <w:jc w:val="both"/>
      </w:pPr>
      <w:r>
        <w:rPr>
          <w:rFonts w:ascii="Times New Roman" w:hAnsi="Times New Roman" w:eastAsia="宋体"/>
          <w:b w:val="0"/>
          <w:sz w:val="24"/>
        </w:rPr>
        <w:t>六西格玛则完全以数据说话，其DMAIC（定义、测量、分析、改进、控制）五步已是流程改进的通用框架。若说精益回答“浪费在哪里”，六西格玛盯的是“变异在哪里”——用统计方法找出波动源并压下去。</w:t>
      </w:r>
    </w:p>
    <w:p>
      <w:pPr>
        <w:spacing w:line="400" w:lineRule="exact" w:before="0" w:after="0"/>
        <w:ind w:firstLine="480"/>
        <w:jc w:val="both"/>
      </w:pPr>
      <w:r>
        <w:rPr>
          <w:rFonts w:ascii="Times New Roman" w:hAnsi="Times New Roman" w:eastAsia="宋体"/>
          <w:b w:val="0"/>
          <w:sz w:val="24"/>
        </w:rPr>
        <w:t>把两者优势合在一起的精益六西格玛，如今已是流程改进方法论的主流范式（Samanta等，2023）。不过它有一个局限性：流程诊断环节，尤其是“测量”和“分析”阶段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依据。</w:t>
      </w:r>
    </w:p>
    <w:p>
      <w:pPr>
        <w:spacing w:line="240" w:lineRule="auto" w:before="240" w:after="120"/>
        <w:ind w:firstLine="520"/>
        <w:outlineLvl w:val="2"/>
      </w:pPr>
      <w:r>
        <w:rPr>
          <w:rFonts w:ascii="Times New Roman" w:hAnsi="Times New Roman" w:eastAsia="黑体"/>
          <w:b/>
          <w:sz w:val="26"/>
        </w:rPr>
        <w:t>五、业务流程再造（BPR）</w:t>
      </w:r>
    </w:p>
    <w:p>
      <w:pPr>
        <w:spacing w:line="400" w:lineRule="exact" w:before="0" w:after="0"/>
        <w:ind w:firstLine="480"/>
        <w:jc w:val="both"/>
      </w:pPr>
      <w:r>
        <w:rPr>
          <w:rFonts w:ascii="Times New Roman" w:hAnsi="Times New Roman" w:eastAsia="宋体"/>
          <w:b w:val="0"/>
          <w:sz w:val="24"/>
        </w:rPr>
        <w:t>业务流程再造（Business Process Reengineering，BPR）由Hammer和Champy（1993）提出，立场相当激进：与其在原有流程上修修补补，不如从头重新思考、彻底重新设计，以求成本、质量、服务和速度上的突破性改善。这与TQM、Kaizen一类渐进改良路线形成鲜明对照，也注定了它进入医疗行业后必须有所收敛（见下文）。</w:t>
      </w:r>
    </w:p>
    <w:p>
      <w:pPr>
        <w:spacing w:line="400" w:lineRule="exact" w:before="0" w:after="0"/>
        <w:ind w:firstLine="480"/>
        <w:jc w:val="both"/>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对线上线下衔接等非临床性流程进行系统性改造，而对临床诊疗决策本身保持充分尊重。</w:t>
      </w:r>
    </w:p>
    <w:p>
      <w:pPr>
        <w:spacing w:line="240" w:lineRule="auto" w:before="480" w:after="120"/>
        <w:jc w:val="center"/>
        <w:outlineLvl w:val="1"/>
      </w:pPr>
      <w:r>
        <w:rPr>
          <w:rFonts w:ascii="Times New Roman" w:hAnsi="Times New Roman" w:eastAsia="黑体"/>
          <w:b/>
          <w:sz w:val="28"/>
        </w:rPr>
        <w:t>第三节　数字化转型理论</w:t>
      </w:r>
    </w:p>
    <w:p>
      <w:pPr>
        <w:spacing w:line="240" w:lineRule="auto" w:before="240" w:after="120"/>
        <w:ind w:firstLine="520"/>
        <w:outlineLvl w:val="2"/>
      </w:pPr>
      <w:r>
        <w:rPr>
          <w:rFonts w:ascii="Times New Roman" w:hAnsi="Times New Roman" w:eastAsia="黑体"/>
          <w:b/>
          <w:sz w:val="26"/>
        </w:rPr>
        <w:t>一、数字化转型的概念与维度</w:t>
      </w:r>
    </w:p>
    <w:p>
      <w:pPr>
        <w:spacing w:line="400" w:lineRule="exact" w:before="0" w:after="0"/>
        <w:ind w:firstLine="480"/>
        <w:jc w:val="both"/>
      </w:pPr>
      <w:r>
        <w:rPr>
          <w:rFonts w:ascii="Times New Roman" w:hAnsi="Times New Roman" w:eastAsia="宋体"/>
          <w:b w:val="0"/>
          <w:sz w:val="24"/>
        </w:rPr>
        <w:t>数字化转型与“数字化”“信息化”并非同义词：数字化解决的是信息的格式转换，信息化止步于用IT系统提效现有流程，转型则意味着以大数据、云计算、人工智能等数字技术为杠杆，对业务流程、组织架构乃至价值创造方式做根本性的调整。</w:t>
      </w:r>
    </w:p>
    <w:p>
      <w:pPr>
        <w:spacing w:line="400" w:lineRule="exact" w:before="0" w:after="0"/>
        <w:ind w:firstLine="480"/>
        <w:jc w:val="both"/>
      </w:pPr>
      <w:r>
        <w:rPr>
          <w:rFonts w:ascii="Times New Roman" w:hAnsi="Times New Roman" w:eastAsia="宋体"/>
          <w:b w:val="0"/>
          <w:sz w:val="24"/>
        </w:rPr>
        <w:t>分析时通常把它拆为技术、组织、业务三个维度。落到医疗行业，这三个维度都有具体所指：技术层是互联网医院平台与HIS、LIS、PACS、EMR、AI辅助诊疗等系统；组织层是集团管理架构、多院区协同机制与数字化人才的培养；业务层则是在线问诊、处方流转、慢病管理等新服务模式的设计与运营。</w:t>
      </w:r>
    </w:p>
    <w:p>
      <w:pPr>
        <w:spacing w:line="240" w:lineRule="auto" w:before="240" w:after="120"/>
        <w:ind w:firstLine="520"/>
        <w:outlineLvl w:val="2"/>
      </w:pPr>
      <w:r>
        <w:rPr>
          <w:rFonts w:ascii="Times New Roman" w:hAnsi="Times New Roman" w:eastAsia="黑体"/>
          <w:b/>
          <w:sz w:val="26"/>
        </w:rPr>
        <w:t>二、医疗行业数字化转型路径</w:t>
      </w:r>
    </w:p>
    <w:p>
      <w:pPr>
        <w:spacing w:line="400" w:lineRule="exact" w:before="0" w:after="0"/>
        <w:ind w:firstLine="480"/>
        <w:jc w:val="both"/>
      </w:pPr>
      <w:r>
        <w:rPr>
          <w:rFonts w:ascii="Times New Roman" w:hAnsi="Times New Roman" w:eastAsia="宋体"/>
          <w:b w:val="0"/>
          <w:sz w:val="24"/>
        </w:rPr>
        <w:t>医疗行业的数字化转型有自己的特殊性和复杂性：数据敏感——涉及患者隐私；风险高——诊疗错误后果不可逆；监管严——行业准入、医保控费层层约束。这三条叠加，决定了它不能照搬零售、金融等行业的数字化路径。</w:t>
      </w:r>
    </w:p>
    <w:p>
      <w:pPr>
        <w:spacing w:line="400" w:lineRule="exact" w:before="0" w:after="0"/>
        <w:ind w:firstLine="480"/>
        <w:jc w:val="both"/>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pPr>
        <w:spacing w:line="400" w:lineRule="exact" w:before="0" w:after="0"/>
        <w:ind w:firstLine="480"/>
        <w:jc w:val="both"/>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大主题展开，表明数字化转型的成效取决于技术实施与组织、管理变革的协同程度。对照这一研究图景，A医药集团互联网医院当前大致处于“已完成互联网医院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pPr>
        <w:spacing w:line="400" w:lineRule="exact" w:before="0" w:after="0"/>
        <w:ind w:firstLine="480"/>
        <w:jc w:val="both"/>
      </w:pPr>
      <w:r>
        <w:rPr>
          <w:rFonts w:ascii="Times New Roman" w:hAnsi="Times New Roman" w:eastAsia="宋体"/>
          <w:b w:val="0"/>
          <w:sz w:val="24"/>
        </w:rPr>
        <w:t>再看多机构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pPr>
        <w:spacing w:line="240" w:lineRule="auto" w:before="480" w:after="120"/>
        <w:jc w:val="center"/>
        <w:outlineLvl w:val="1"/>
      </w:pPr>
      <w:r>
        <w:rPr>
          <w:rFonts w:ascii="Times New Roman" w:hAnsi="Times New Roman" w:eastAsia="黑体"/>
          <w:b/>
          <w:sz w:val="28"/>
        </w:rPr>
        <w:t>第四节　文献评述与研究缺口定位</w:t>
      </w:r>
    </w:p>
    <w:p>
      <w:pPr>
        <w:spacing w:line="240" w:lineRule="auto" w:before="240" w:after="120"/>
        <w:ind w:firstLine="520"/>
        <w:outlineLvl w:val="2"/>
      </w:pPr>
      <w:r>
        <w:rPr>
          <w:rFonts w:ascii="Times New Roman" w:hAnsi="Times New Roman" w:eastAsia="黑体"/>
          <w:b/>
          <w:sz w:val="26"/>
        </w:rPr>
        <w:t>一、现有研究的贡献</w:t>
      </w:r>
    </w:p>
    <w:p>
      <w:pPr>
        <w:spacing w:line="400" w:lineRule="exact" w:before="0" w:after="0"/>
        <w:ind w:firstLine="480"/>
        <w:jc w:val="both"/>
      </w:pPr>
      <w:r>
        <w:rPr>
          <w:rFonts w:ascii="Times New Roman" w:hAnsi="Times New Roman" w:eastAsia="宋体"/>
          <w:b w:val="0"/>
          <w:sz w:val="24"/>
        </w:rPr>
        <w:t>总体看，已有文献在几个方面为本文备好了前提。案例背景上，国内学者对公立医院互联网诊疗的现状与问题已有扎实的实证分析（公雪，郭蕊，2025；张宇希，胡建平，2024），第三章的分析有翔实资料可依。方法工具上，服务蓝图、过程分析法、AHP、精益与BPR各自的理论积累都已相当成熟，过程分析法的方法论基础——事件日志的数据要求、流程发现算法、一致性检查——已相当完善，在医疗领域的应用也在稳步拓展。转型路径上，医疗行业的数字化障碍与多机构协同问题近年尤其受关注（姚瑶等，2025；Kraus等，2021；谭华伟等，2024；牛雨婷等，2024；靳巍巍等，2025）；国际学术语境中的整合医疗（integrated care）研究为理解多机构、多层级医疗服务的协同提供了长期的概念框架（Kodner，Spreeuwenberg，2002），并从系统、组织与服务等多个层面界定了整合的实现程度（Goodwin，2016），本文的多院区协同分析由此获得国际对话的基础。技术实现上，AI嵌入护理服务流程等案例（范一丁等，2025）为本文的方案设计提供了参照。</w:t>
      </w:r>
    </w:p>
    <w:p>
      <w:pPr>
        <w:spacing w:line="240" w:lineRule="auto" w:before="240" w:after="120"/>
        <w:ind w:firstLine="520"/>
        <w:outlineLvl w:val="2"/>
      </w:pPr>
      <w:r>
        <w:rPr>
          <w:rFonts w:ascii="Times New Roman" w:hAnsi="Times New Roman" w:eastAsia="黑体"/>
          <w:b/>
          <w:sz w:val="26"/>
        </w:rPr>
        <w:t>二、研究缺口与本文定位</w:t>
      </w:r>
    </w:p>
    <w:p>
      <w:pPr>
        <w:jc w:val="center"/>
      </w:pPr>
      <w:r>
        <w:drawing>
          <wp:inline xmlns:a="http://schemas.openxmlformats.org/drawingml/2006/main" xmlns:pic="http://schemas.openxmlformats.org/drawingml/2006/picture">
            <wp:extent cx="5040000" cy="3050641"/>
            <wp:docPr id="5" name="Picture 5"/>
            <wp:cNvGraphicFramePr>
              <a:graphicFrameLocks noChangeAspect="1"/>
            </wp:cNvGraphicFramePr>
            <a:graphic>
              <a:graphicData uri="http://schemas.openxmlformats.org/drawingml/2006/picture">
                <pic:pic>
                  <pic:nvPicPr>
                    <pic:cNvPr id="0" name="图2.3-研究缺口与本文定位.png"/>
                    <pic:cNvPicPr/>
                  </pic:nvPicPr>
                  <pic:blipFill>
                    <a:blip r:embed="rId15"/>
                    <a:stretch>
                      <a:fillRect/>
                    </a:stretch>
                  </pic:blipFill>
                  <pic:spPr>
                    <a:xfrm>
                      <a:off x="0" y="0"/>
                      <a:ext cx="5040000" cy="3050641"/>
                    </a:xfrm>
                    <a:prstGeom prst="rect"/>
                  </pic:spPr>
                </pic:pic>
              </a:graphicData>
            </a:graphic>
          </wp:inline>
        </w:drawing>
      </w:r>
    </w:p>
    <w:p>
      <w:pPr>
        <w:spacing w:line="240" w:lineRule="auto" w:before="120" w:after="240"/>
        <w:jc w:val="center"/>
      </w:pPr>
      <w:r>
        <w:rPr>
          <w:rFonts w:ascii="Times New Roman" w:hAnsi="Times New Roman" w:eastAsia="宋体"/>
          <w:b w:val="0"/>
          <w:sz w:val="21"/>
        </w:rPr>
        <w:t>图2.3　研究缺口定位</w:t>
      </w:r>
    </w:p>
    <w:p>
      <w:pPr>
        <w:spacing w:line="400" w:lineRule="exact" w:before="0" w:after="0"/>
        <w:ind w:firstLine="480"/>
        <w:jc w:val="both"/>
      </w:pPr>
      <w:r>
        <w:rPr>
          <w:rFonts w:ascii="Times New Roman" w:hAnsi="Times New Roman" w:eastAsia="宋体"/>
          <w:b w:val="0"/>
          <w:sz w:val="24"/>
        </w:rPr>
        <w:t>尽管现有研究取得了丰富的成果，但仍存在以下三个重要的研究缺口，本文正是围绕这些缺口展开研究的。</w:t>
      </w:r>
    </w:p>
    <w:p>
      <w:pPr>
        <w:spacing w:line="400" w:lineRule="exact" w:before="0" w:after="0"/>
        <w:ind w:firstLine="480"/>
        <w:jc w:val="both"/>
      </w:pPr>
      <w:r>
        <w:rPr>
          <w:rFonts w:ascii="Times New Roman" w:hAnsi="Times New Roman" w:eastAsia="宋体"/>
          <w:b w:val="0"/>
          <w:sz w:val="24"/>
        </w:rPr>
        <w:t>第一个研究缺口是方法论层面。传统的医疗服务流程优化研究，诊断环节主要靠经验判断和定性分析——专家访谈、焦点小组、问卷调查，精确性和客观性都打了折扣。过程分析法在其他行业早已广泛使用，落到互联网医院服务流程，尤其是线上线下融合的复合流程的应用研究却还略显单薄。本文把它引入流程诊断环节，让一千余万条事件日志替流程运行说话，把流程优化从“经验驱动”推向“数据驱动”；同时把AHP与过程分析法拼在一起，一个负责识别瓶颈，一个负责给瓶颈排序，形成了“诊断→评价→优化→验证”的完整方法论链条。</w:t>
      </w:r>
    </w:p>
    <w:p>
      <w:pPr>
        <w:spacing w:line="400" w:lineRule="exact" w:before="0" w:after="0"/>
        <w:ind w:firstLine="480"/>
        <w:jc w:val="both"/>
      </w:pPr>
      <w:r>
        <w:rPr>
          <w:rFonts w:ascii="Times New Roman" w:hAnsi="Times New Roman" w:eastAsia="宋体"/>
          <w:b w:val="0"/>
          <w:sz w:val="24"/>
        </w:rPr>
        <w:t>第二个研究缺口是实践场景层面。现有研究多聚焦于单一医院的流程优化，多院区协同场景的讨论明显不足。互联网医院放到医药集团的多院区格局里，问题要复杂得多：院区之间信息系统异构、服务标准不一、资源分配不均，都对流程优化提出了额外的挑战。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pPr>
        <w:spacing w:line="400" w:lineRule="exact" w:before="0" w:after="0"/>
        <w:ind w:firstLine="480"/>
        <w:jc w:val="both"/>
      </w:pPr>
      <w:r>
        <w:rPr>
          <w:rFonts w:ascii="Times New Roman" w:hAnsi="Times New Roman" w:eastAsia="宋体"/>
          <w:b w:val="0"/>
          <w:sz w:val="24"/>
        </w:rPr>
        <w:t>第三个研究缺口是价值聚焦层面。现有互联网医院的研究较多关注“如何建设”（技术架构、功能设计、系统开发），而对“如何用好”（流程效率、运营管理、持续改进）的研究相对薄弱。“建平台”的热潮过后，如何让建成的平台真正高效运转，是业界共同的难题。本文的研究正面回应这一问题：用数据驱动的方法精确诊断低效环节，用系统性的方案设计消除浪费和断点，再用准实验方法检验优化的实际效果，形成了一个从“发现问题”到“解决问题”再到“验证效果”的完整管理循环。</w:t>
      </w:r>
    </w:p>
    <w:p>
      <w:pPr>
        <w:spacing w:line="400" w:lineRule="exact" w:before="0" w:after="0"/>
        <w:ind w:firstLine="480"/>
        <w:jc w:val="both"/>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仅仅局限于互联网医院，连锁医疗机构、多网点的金融服务机构等面临类似挑战的组织，同样可以参考取用。</w:t>
      </w:r>
    </w:p>
    <w:p>
      <w:pPr>
        <w:spacing w:line="400" w:lineRule="exact" w:before="0" w:after="0"/>
        <w:ind w:firstLine="480"/>
        <w:jc w:val="both"/>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旨在为“如何用好互联网医院平台”这个实践命题，交出一套系统的、可复制的方法论解决方案。</w:t>
      </w:r>
    </w:p>
    <w:p>
      <w:pPr>
        <w:spacing w:line="240" w:lineRule="auto" w:before="480" w:after="360"/>
        <w:jc w:val="center"/>
        <w:outlineLvl w:val="0"/>
      </w:pPr>
      <w:r>
        <w:rPr>
          <w:rFonts w:ascii="Times New Roman" w:hAnsi="Times New Roman" w:eastAsia="黑体"/>
          <w:b/>
          <w:sz w:val="32"/>
        </w:rPr>
        <w:t>第三章　A医药集团互联网医院运营现状与问题分析</w:t>
      </w:r>
    </w:p>
    <w:p>
      <w:pPr>
        <w:spacing w:line="240" w:lineRule="auto" w:before="480" w:after="120"/>
        <w:jc w:val="center"/>
        <w:outlineLvl w:val="1"/>
      </w:pPr>
      <w:r>
        <w:rPr>
          <w:rFonts w:ascii="Times New Roman" w:hAnsi="Times New Roman" w:eastAsia="黑体"/>
          <w:b/>
          <w:sz w:val="28"/>
        </w:rPr>
        <w:t>第一节　A医药集团与互联网医院概况</w:t>
      </w:r>
    </w:p>
    <w:p>
      <w:pPr>
        <w:spacing w:line="240" w:lineRule="auto" w:before="240" w:after="120"/>
        <w:ind w:firstLine="520"/>
        <w:outlineLvl w:val="2"/>
      </w:pPr>
      <w:r>
        <w:rPr>
          <w:rFonts w:ascii="Times New Roman" w:hAnsi="Times New Roman" w:eastAsia="黑体"/>
          <w:b/>
          <w:sz w:val="26"/>
        </w:rPr>
        <w:t>一、A医药集团发展历程与业务版图</w:t>
      </w:r>
    </w:p>
    <w:p>
      <w:pPr>
        <w:spacing w:line="400" w:lineRule="exact" w:before="0" w:after="0"/>
        <w:ind w:firstLine="480"/>
        <w:jc w:val="both"/>
      </w:pPr>
      <w:r>
        <w:rPr>
          <w:rFonts w:ascii="Times New Roman" w:hAnsi="Times New Roman" w:eastAsia="宋体"/>
          <w:b w:val="0"/>
          <w:sz w:val="24"/>
        </w:rPr>
        <w:t>A医药集团是国内医药流通及医疗服务领域的领先企业之一，业务范围覆盖医药研发与流通、药品分销、零售药房、医疗服务、医疗器械等多个板块。集团经过多轮改制与战略重组，逐步发展成为一家以“医药+医疗”双轮驱动为特征的综合性医药健康产业集团。</w:t>
      </w:r>
    </w:p>
    <w:p>
      <w:pPr>
        <w:spacing w:line="400" w:lineRule="exact" w:before="0" w:after="0"/>
        <w:ind w:firstLine="480"/>
        <w:jc w:val="both"/>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形成了社区健康服务的重要触点。</w:t>
      </w:r>
    </w:p>
    <w:p>
      <w:pPr>
        <w:spacing w:line="400" w:lineRule="exact" w:before="0" w:after="0"/>
        <w:ind w:firstLine="480"/>
        <w:jc w:val="both"/>
      </w:pPr>
      <w:r>
        <w:rPr>
          <w:rFonts w:ascii="Times New Roman" w:hAnsi="Times New Roman" w:eastAsia="宋体"/>
          <w:b w:val="0"/>
          <w:sz w:val="24"/>
        </w:rPr>
        <w:t>在医疗服务领域，A医药集团依托其在医药供应链上的核心优势，通过并购控股，先后整合了多家医疗机构。目前集团旗下拥有百余家医疗机构，本研究以三家三级甲等综合医院（以下分别称为“医院A”“医院B”“医院C”）、两家二级甲等综合医院（“医院D”“医院E”）为主要研究对象。这些医疗机构分布于不同省份的三个城市，合计开放床位数近五千张，年门急诊量超过三百万人次。</w:t>
      </w:r>
    </w:p>
    <w:p>
      <w:pPr>
        <w:spacing w:line="400" w:lineRule="exact" w:before="0" w:after="0"/>
        <w:ind w:firstLine="480"/>
        <w:jc w:val="both"/>
      </w:pPr>
      <w:r>
        <w:rPr>
          <w:rFonts w:ascii="Times New Roman" w:hAnsi="Times New Roman" w:eastAsia="宋体"/>
          <w:b w:val="0"/>
          <w:sz w:val="24"/>
        </w:rPr>
        <w:t>集团旗下各医院在学科建设上各有所长，表3.1汇总了各医院的关键特征。</w:t>
      </w:r>
    </w:p>
    <w:p>
      <w:pPr>
        <w:jc w:val="center"/>
      </w:pPr>
      <w:r>
        <w:drawing>
          <wp:inline xmlns:a="http://schemas.openxmlformats.org/drawingml/2006/main" xmlns:pic="http://schemas.openxmlformats.org/drawingml/2006/picture">
            <wp:extent cx="5040000" cy="4913345"/>
            <wp:docPr id="6" name="Picture 6"/>
            <wp:cNvGraphicFramePr>
              <a:graphicFrameLocks noChangeAspect="1"/>
            </wp:cNvGraphicFramePr>
            <a:graphic>
              <a:graphicData uri="http://schemas.openxmlformats.org/drawingml/2006/picture">
                <pic:pic>
                  <pic:nvPicPr>
                    <pic:cNvPr id="0" name="图3.1-组织架构图.png"/>
                    <pic:cNvPicPr/>
                  </pic:nvPicPr>
                  <pic:blipFill>
                    <a:blip r:embed="rId16"/>
                    <a:stretch>
                      <a:fillRect/>
                    </a:stretch>
                  </pic:blipFill>
                  <pic:spPr>
                    <a:xfrm>
                      <a:off x="0" y="0"/>
                      <a:ext cx="5040000" cy="4913345"/>
                    </a:xfrm>
                    <a:prstGeom prst="rect"/>
                  </pic:spPr>
                </pic:pic>
              </a:graphicData>
            </a:graphic>
          </wp:inline>
        </w:drawing>
      </w:r>
    </w:p>
    <w:p>
      <w:pPr>
        <w:spacing w:line="240" w:lineRule="auto" w:before="120" w:after="240"/>
        <w:jc w:val="center"/>
      </w:pPr>
      <w:r>
        <w:rPr>
          <w:rFonts w:ascii="Times New Roman" w:hAnsi="Times New Roman" w:eastAsia="宋体"/>
          <w:b w:val="0"/>
          <w:sz w:val="21"/>
        </w:rPr>
        <w:t>图3.1　A医药集团组织架构图</w:t>
      </w:r>
    </w:p>
    <w:p>
      <w:pPr>
        <w:spacing w:line="240" w:lineRule="auto" w:before="120" w:after="120"/>
        <w:jc w:val="center"/>
      </w:pPr>
      <w:r>
        <w:rPr>
          <w:rFonts w:ascii="Times New Roman" w:hAnsi="Times New Roman" w:eastAsia="宋体"/>
          <w:b w:val="0"/>
          <w:sz w:val="21"/>
        </w:rPr>
        <w:t>表3.1　A医药集团旗下主要医院概况</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230"/>
        <w:gridCol w:w="1230"/>
        <w:gridCol w:w="1230"/>
        <w:gridCol w:w="1230"/>
        <w:gridCol w:w="1230"/>
        <w:gridCol w:w="1230"/>
        <w:gridCol w:w="1230"/>
      </w:tblGrid>
      <w:tr>
        <w:tc>
          <w:tcPr>
            <w:tcW w:type="dxa" w:w="1230"/>
            <w:tcBorders>
              <w:bottom w:val="single" w:sz="12" w:space="0" w:color="000000"/>
            </w:tcBorders>
          </w:tcPr>
          <w:p>
            <w:pPr>
              <w:jc w:val="center"/>
            </w:pPr>
            <w:r/>
            <w:r>
              <w:rPr>
                <w:rFonts w:ascii="Times New Roman" w:hAnsi="Times New Roman" w:eastAsia="宋体"/>
                <w:b/>
                <w:sz w:val="20"/>
              </w:rPr>
              <w:t>医院</w:t>
            </w:r>
          </w:p>
        </w:tc>
        <w:tc>
          <w:tcPr>
            <w:tcW w:type="dxa" w:w="1230"/>
            <w:tcBorders>
              <w:bottom w:val="single" w:sz="12" w:space="0" w:color="000000"/>
            </w:tcBorders>
          </w:tcPr>
          <w:p>
            <w:pPr>
              <w:jc w:val="center"/>
            </w:pPr>
            <w:r/>
            <w:r>
              <w:rPr>
                <w:rFonts w:ascii="Times New Roman" w:hAnsi="Times New Roman" w:eastAsia="宋体"/>
                <w:b/>
                <w:sz w:val="20"/>
              </w:rPr>
              <w:t>等级</w:t>
            </w:r>
          </w:p>
        </w:tc>
        <w:tc>
          <w:tcPr>
            <w:tcW w:type="dxa" w:w="1230"/>
            <w:tcBorders>
              <w:bottom w:val="single" w:sz="12" w:space="0" w:color="000000"/>
            </w:tcBorders>
          </w:tcPr>
          <w:p>
            <w:pPr>
              <w:jc w:val="center"/>
            </w:pPr>
            <w:r/>
            <w:r>
              <w:rPr>
                <w:rFonts w:ascii="Times New Roman" w:hAnsi="Times New Roman" w:eastAsia="宋体"/>
                <w:b/>
                <w:sz w:val="20"/>
              </w:rPr>
              <w:t>床位数</w:t>
            </w:r>
          </w:p>
        </w:tc>
        <w:tc>
          <w:tcPr>
            <w:tcW w:type="dxa" w:w="1230"/>
            <w:tcBorders>
              <w:bottom w:val="single" w:sz="12" w:space="0" w:color="000000"/>
            </w:tcBorders>
          </w:tcPr>
          <w:p>
            <w:pPr>
              <w:jc w:val="center"/>
            </w:pPr>
            <w:r/>
            <w:r>
              <w:rPr>
                <w:rFonts w:ascii="Times New Roman" w:hAnsi="Times New Roman" w:eastAsia="宋体"/>
                <w:b/>
                <w:sz w:val="20"/>
              </w:rPr>
              <w:t>特色学科</w:t>
            </w:r>
          </w:p>
        </w:tc>
        <w:tc>
          <w:tcPr>
            <w:tcW w:type="dxa" w:w="1230"/>
            <w:tcBorders>
              <w:bottom w:val="single" w:sz="12" w:space="0" w:color="000000"/>
            </w:tcBorders>
          </w:tcPr>
          <w:p>
            <w:pPr>
              <w:jc w:val="center"/>
            </w:pPr>
            <w:r/>
            <w:r>
              <w:rPr>
                <w:rFonts w:ascii="Times New Roman" w:hAnsi="Times New Roman" w:eastAsia="宋体"/>
                <w:b/>
                <w:sz w:val="20"/>
              </w:rPr>
              <w:t>年门急诊量</w:t>
            </w:r>
          </w:p>
        </w:tc>
        <w:tc>
          <w:tcPr>
            <w:tcW w:type="dxa" w:w="1230"/>
            <w:tcBorders>
              <w:bottom w:val="single" w:sz="12" w:space="0" w:color="000000"/>
            </w:tcBorders>
          </w:tcPr>
          <w:p>
            <w:pPr>
              <w:jc w:val="center"/>
            </w:pPr>
            <w:r/>
            <w:r>
              <w:rPr>
                <w:rFonts w:ascii="Times New Roman" w:hAnsi="Times New Roman" w:eastAsia="宋体"/>
                <w:b/>
                <w:sz w:val="20"/>
              </w:rPr>
              <w:t>HIS版本</w:t>
            </w:r>
          </w:p>
        </w:tc>
        <w:tc>
          <w:tcPr>
            <w:tcW w:type="dxa" w:w="1230"/>
            <w:tcBorders>
              <w:bottom w:val="single" w:sz="12" w:space="0" w:color="000000"/>
            </w:tcBorders>
          </w:tcPr>
          <w:p>
            <w:pPr>
              <w:jc w:val="center"/>
            </w:pPr>
            <w:r/>
            <w:r>
              <w:rPr>
                <w:rFonts w:ascii="Times New Roman" w:hAnsi="Times New Roman" w:eastAsia="宋体"/>
                <w:b/>
                <w:sz w:val="20"/>
              </w:rPr>
              <w:t>接入平台时间</w:t>
            </w:r>
          </w:p>
        </w:tc>
      </w:tr>
      <w:tr>
        <w:tc>
          <w:tcPr>
            <w:tcW w:type="dxa" w:w="1230"/>
          </w:tcPr>
          <w:p>
            <w:r/>
            <w:r>
              <w:rPr>
                <w:rFonts w:ascii="Times New Roman" w:hAnsi="Times New Roman" w:eastAsia="宋体"/>
                <w:sz w:val="20"/>
              </w:rPr>
              <w:t>医院A</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~1800张</w:t>
            </w:r>
          </w:p>
        </w:tc>
        <w:tc>
          <w:tcPr>
            <w:tcW w:type="dxa" w:w="1230"/>
          </w:tcPr>
          <w:p>
            <w:r/>
            <w:r>
              <w:rPr>
                <w:rFonts w:ascii="Times New Roman" w:hAnsi="Times New Roman" w:eastAsia="宋体"/>
                <w:sz w:val="20"/>
              </w:rPr>
              <w:t>心脑血管、微创外科</w:t>
            </w:r>
          </w:p>
        </w:tc>
        <w:tc>
          <w:tcPr>
            <w:tcW w:type="dxa" w:w="1230"/>
          </w:tcPr>
          <w:p>
            <w:r/>
            <w:r>
              <w:rPr>
                <w:rFonts w:ascii="Times New Roman" w:hAnsi="Times New Roman" w:eastAsia="宋体"/>
                <w:sz w:val="20"/>
              </w:rPr>
              <w:t>~120万人次</w:t>
            </w:r>
          </w:p>
        </w:tc>
        <w:tc>
          <w:tcPr>
            <w:tcW w:type="dxa" w:w="1230"/>
          </w:tcPr>
          <w:p>
            <w:r/>
            <w:r>
              <w:rPr>
                <w:rFonts w:ascii="Times New Roman" w:hAnsi="Times New Roman" w:eastAsia="宋体"/>
                <w:sz w:val="20"/>
              </w:rPr>
              <w:t>A厂商V5.2</w:t>
            </w:r>
          </w:p>
        </w:tc>
        <w:tc>
          <w:tcPr>
            <w:tcW w:type="dxa" w:w="1230"/>
          </w:tcPr>
          <w:p>
            <w:r/>
            <w:r>
              <w:rPr>
                <w:rFonts w:ascii="Times New Roman" w:hAnsi="Times New Roman" w:eastAsia="宋体"/>
                <w:sz w:val="20"/>
              </w:rPr>
              <w:t>2021年</w:t>
            </w:r>
          </w:p>
        </w:tc>
      </w:tr>
      <w:tr>
        <w:tc>
          <w:tcPr>
            <w:tcW w:type="dxa" w:w="1230"/>
          </w:tcPr>
          <w:p>
            <w:r/>
            <w:r>
              <w:rPr>
                <w:rFonts w:ascii="Times New Roman" w:hAnsi="Times New Roman" w:eastAsia="宋体"/>
                <w:sz w:val="20"/>
              </w:rPr>
              <w:t>医院B</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~1200张</w:t>
            </w:r>
          </w:p>
        </w:tc>
        <w:tc>
          <w:tcPr>
            <w:tcW w:type="dxa" w:w="1230"/>
          </w:tcPr>
          <w:p>
            <w:r/>
            <w:r>
              <w:rPr>
                <w:rFonts w:ascii="Times New Roman" w:hAnsi="Times New Roman" w:eastAsia="宋体"/>
                <w:sz w:val="20"/>
              </w:rPr>
              <w:t>妇产儿科、肿瘤</w:t>
            </w:r>
          </w:p>
        </w:tc>
        <w:tc>
          <w:tcPr>
            <w:tcW w:type="dxa" w:w="1230"/>
          </w:tcPr>
          <w:p>
            <w:r/>
            <w:r>
              <w:rPr>
                <w:rFonts w:ascii="Times New Roman" w:hAnsi="Times New Roman" w:eastAsia="宋体"/>
                <w:sz w:val="20"/>
              </w:rPr>
              <w:t>~85万人次</w:t>
            </w:r>
          </w:p>
        </w:tc>
        <w:tc>
          <w:tcPr>
            <w:tcW w:type="dxa" w:w="1230"/>
          </w:tcPr>
          <w:p>
            <w:r/>
            <w:r>
              <w:rPr>
                <w:rFonts w:ascii="Times New Roman" w:hAnsi="Times New Roman" w:eastAsia="宋体"/>
                <w:sz w:val="20"/>
              </w:rPr>
              <w:t>B厂商V3.8</w:t>
            </w:r>
          </w:p>
        </w:tc>
        <w:tc>
          <w:tcPr>
            <w:tcW w:type="dxa" w:w="1230"/>
          </w:tcPr>
          <w:p>
            <w:r/>
            <w:r>
              <w:rPr>
                <w:rFonts w:ascii="Times New Roman" w:hAnsi="Times New Roman" w:eastAsia="宋体"/>
                <w:sz w:val="20"/>
              </w:rPr>
              <w:t>2022年</w:t>
            </w:r>
          </w:p>
        </w:tc>
      </w:tr>
      <w:tr>
        <w:tc>
          <w:tcPr>
            <w:tcW w:type="dxa" w:w="1230"/>
          </w:tcPr>
          <w:p>
            <w:r/>
            <w:r>
              <w:rPr>
                <w:rFonts w:ascii="Times New Roman" w:hAnsi="Times New Roman" w:eastAsia="宋体"/>
                <w:sz w:val="20"/>
              </w:rPr>
              <w:t>医院C</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~1000张</w:t>
            </w:r>
          </w:p>
        </w:tc>
        <w:tc>
          <w:tcPr>
            <w:tcW w:type="dxa" w:w="1230"/>
          </w:tcPr>
          <w:p>
            <w:r/>
            <w:r>
              <w:rPr>
                <w:rFonts w:ascii="Times New Roman" w:hAnsi="Times New Roman" w:eastAsia="宋体"/>
                <w:sz w:val="20"/>
              </w:rPr>
              <w:t>骨科、康复医学</w:t>
            </w:r>
          </w:p>
        </w:tc>
        <w:tc>
          <w:tcPr>
            <w:tcW w:type="dxa" w:w="1230"/>
          </w:tcPr>
          <w:p>
            <w:r/>
            <w:r>
              <w:rPr>
                <w:rFonts w:ascii="Times New Roman" w:hAnsi="Times New Roman" w:eastAsia="宋体"/>
                <w:sz w:val="20"/>
              </w:rPr>
              <w:t>~60万人次</w:t>
            </w:r>
          </w:p>
        </w:tc>
        <w:tc>
          <w:tcPr>
            <w:tcW w:type="dxa" w:w="1230"/>
          </w:tcPr>
          <w:p>
            <w:r/>
            <w:r>
              <w:rPr>
                <w:rFonts w:ascii="Times New Roman" w:hAnsi="Times New Roman" w:eastAsia="宋体"/>
                <w:sz w:val="20"/>
              </w:rPr>
              <w:t>C厂商V4.5</w:t>
            </w:r>
          </w:p>
        </w:tc>
        <w:tc>
          <w:tcPr>
            <w:tcW w:type="dxa" w:w="1230"/>
          </w:tcPr>
          <w:p>
            <w:r/>
            <w:r>
              <w:rPr>
                <w:rFonts w:ascii="Times New Roman" w:hAnsi="Times New Roman" w:eastAsia="宋体"/>
                <w:sz w:val="20"/>
              </w:rPr>
              <w:t>2023年</w:t>
            </w:r>
          </w:p>
        </w:tc>
      </w:tr>
      <w:tr>
        <w:tc>
          <w:tcPr>
            <w:tcW w:type="dxa" w:w="1230"/>
          </w:tcPr>
          <w:p>
            <w:r/>
            <w:r>
              <w:rPr>
                <w:rFonts w:ascii="Times New Roman" w:hAnsi="Times New Roman" w:eastAsia="宋体"/>
                <w:sz w:val="20"/>
              </w:rPr>
              <w:t>医院D</w:t>
            </w:r>
          </w:p>
        </w:tc>
        <w:tc>
          <w:tcPr>
            <w:tcW w:type="dxa" w:w="1230"/>
          </w:tcPr>
          <w:p>
            <w:r/>
            <w:r>
              <w:rPr>
                <w:rFonts w:ascii="Times New Roman" w:hAnsi="Times New Roman" w:eastAsia="宋体"/>
                <w:sz w:val="20"/>
              </w:rPr>
              <w:t>二甲综合</w:t>
            </w:r>
          </w:p>
        </w:tc>
        <w:tc>
          <w:tcPr>
            <w:tcW w:type="dxa" w:w="1230"/>
          </w:tcPr>
          <w:p>
            <w:r/>
            <w:r>
              <w:rPr>
                <w:rFonts w:ascii="Times New Roman" w:hAnsi="Times New Roman" w:eastAsia="宋体"/>
                <w:sz w:val="20"/>
              </w:rPr>
              <w:t>~400张</w:t>
            </w:r>
          </w:p>
        </w:tc>
        <w:tc>
          <w:tcPr>
            <w:tcW w:type="dxa" w:w="1230"/>
          </w:tcPr>
          <w:p>
            <w:r/>
            <w:r>
              <w:rPr>
                <w:rFonts w:ascii="Times New Roman" w:hAnsi="Times New Roman" w:eastAsia="宋体"/>
                <w:sz w:val="20"/>
              </w:rPr>
              <w:t>心血管、呼吸</w:t>
            </w:r>
          </w:p>
        </w:tc>
        <w:tc>
          <w:tcPr>
            <w:tcW w:type="dxa" w:w="1230"/>
          </w:tcPr>
          <w:p>
            <w:r/>
            <w:r>
              <w:rPr>
                <w:rFonts w:ascii="Times New Roman" w:hAnsi="Times New Roman" w:eastAsia="宋体"/>
                <w:sz w:val="20"/>
              </w:rPr>
              <w:t>~25万人次</w:t>
            </w:r>
          </w:p>
        </w:tc>
        <w:tc>
          <w:tcPr>
            <w:tcW w:type="dxa" w:w="1230"/>
          </w:tcPr>
          <w:p>
            <w:r/>
            <w:r>
              <w:rPr>
                <w:rFonts w:ascii="Times New Roman" w:hAnsi="Times New Roman" w:eastAsia="宋体"/>
                <w:sz w:val="20"/>
              </w:rPr>
              <w:t>B厂商V3.5</w:t>
            </w:r>
          </w:p>
        </w:tc>
        <w:tc>
          <w:tcPr>
            <w:tcW w:type="dxa" w:w="1230"/>
          </w:tcPr>
          <w:p>
            <w:r/>
            <w:r>
              <w:rPr>
                <w:rFonts w:ascii="Times New Roman" w:hAnsi="Times New Roman" w:eastAsia="宋体"/>
                <w:sz w:val="20"/>
              </w:rPr>
              <w:t>2024年</w:t>
            </w:r>
          </w:p>
        </w:tc>
      </w:tr>
      <w:tr>
        <w:tc>
          <w:tcPr>
            <w:tcW w:type="dxa" w:w="1230"/>
          </w:tcPr>
          <w:p>
            <w:r/>
            <w:r>
              <w:rPr>
                <w:rFonts w:ascii="Times New Roman" w:hAnsi="Times New Roman" w:eastAsia="宋体"/>
                <w:sz w:val="20"/>
              </w:rPr>
              <w:t>医院E</w:t>
            </w:r>
          </w:p>
        </w:tc>
        <w:tc>
          <w:tcPr>
            <w:tcW w:type="dxa" w:w="1230"/>
          </w:tcPr>
          <w:p>
            <w:r/>
            <w:r>
              <w:rPr>
                <w:rFonts w:ascii="Times New Roman" w:hAnsi="Times New Roman" w:eastAsia="宋体"/>
                <w:sz w:val="20"/>
              </w:rPr>
              <w:t>二甲综合</w:t>
            </w:r>
          </w:p>
        </w:tc>
        <w:tc>
          <w:tcPr>
            <w:tcW w:type="dxa" w:w="1230"/>
          </w:tcPr>
          <w:p>
            <w:r/>
            <w:r>
              <w:rPr>
                <w:rFonts w:ascii="Times New Roman" w:hAnsi="Times New Roman" w:eastAsia="宋体"/>
                <w:sz w:val="20"/>
              </w:rPr>
              <w:t>~300张</w:t>
            </w:r>
          </w:p>
        </w:tc>
        <w:tc>
          <w:tcPr>
            <w:tcW w:type="dxa" w:w="1230"/>
          </w:tcPr>
          <w:p>
            <w:r/>
            <w:r>
              <w:rPr>
                <w:rFonts w:ascii="Times New Roman" w:hAnsi="Times New Roman" w:eastAsia="宋体"/>
                <w:sz w:val="20"/>
              </w:rPr>
              <w:t>口腔、老年护理</w:t>
            </w:r>
          </w:p>
        </w:tc>
        <w:tc>
          <w:tcPr>
            <w:tcW w:type="dxa" w:w="1230"/>
          </w:tcPr>
          <w:p>
            <w:r/>
            <w:r>
              <w:rPr>
                <w:rFonts w:ascii="Times New Roman" w:hAnsi="Times New Roman" w:eastAsia="宋体"/>
                <w:sz w:val="20"/>
              </w:rPr>
              <w:t>~15万人次</w:t>
            </w:r>
          </w:p>
        </w:tc>
        <w:tc>
          <w:tcPr>
            <w:tcW w:type="dxa" w:w="1230"/>
          </w:tcPr>
          <w:p>
            <w:r/>
            <w:r>
              <w:rPr>
                <w:rFonts w:ascii="Times New Roman" w:hAnsi="Times New Roman" w:eastAsia="宋体"/>
                <w:sz w:val="20"/>
              </w:rPr>
              <w:t>B厂商V3.4</w:t>
            </w:r>
          </w:p>
        </w:tc>
        <w:tc>
          <w:tcPr>
            <w:tcW w:type="dxa" w:w="1230"/>
          </w:tcPr>
          <w:p>
            <w:r/>
            <w:r>
              <w:rPr>
                <w:rFonts w:ascii="Times New Roman" w:hAnsi="Times New Roman" w:eastAsia="宋体"/>
                <w:sz w:val="20"/>
              </w:rPr>
              <w:t>2024年</w:t>
            </w:r>
          </w:p>
        </w:tc>
      </w:tr>
    </w:tbl>
    <w:p/>
    <w:p>
      <w:pPr>
        <w:spacing w:line="240" w:lineRule="auto" w:before="0" w:after="120"/>
      </w:pPr>
      <w:r>
        <w:rPr>
          <w:rFonts w:ascii="Times New Roman" w:hAnsi="Times New Roman" w:eastAsia="宋体"/>
          <w:b w:val="0"/>
          <w:sz w:val="21"/>
        </w:rPr>
        <w:t>注：表中“接入平台时间”指各医院首次接入集团互联网医疗服务体系的年份；医院D、医院E为医院B的分院区，平台按独立院区接入与统计</w:t>
      </w:r>
    </w:p>
    <w:p>
      <w:pPr>
        <w:spacing w:line="400" w:lineRule="exact" w:before="0" w:after="0"/>
        <w:ind w:firstLine="480"/>
        <w:jc w:val="both"/>
      </w:pPr>
      <w:r>
        <w:rPr>
          <w:rFonts w:ascii="Times New Roman" w:hAnsi="Times New Roman" w:eastAsia="宋体"/>
          <w:b w:val="0"/>
          <w:sz w:val="24"/>
        </w:rPr>
        <w:t>医院A为集团标杆医院，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pPr>
        <w:spacing w:line="400" w:lineRule="exact" w:before="0" w:after="0"/>
        <w:ind w:firstLine="480"/>
        <w:jc w:val="both"/>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pPr>
        <w:spacing w:line="400" w:lineRule="exact" w:before="0" w:after="0"/>
        <w:ind w:firstLine="480"/>
        <w:jc w:val="both"/>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w:t>
      </w:r>
    </w:p>
    <w:p>
      <w:pPr>
        <w:spacing w:line="400" w:lineRule="exact" w:before="0" w:after="0"/>
        <w:ind w:firstLine="480"/>
        <w:jc w:val="both"/>
      </w:pPr>
      <w:r>
        <w:rPr>
          <w:rFonts w:ascii="Times New Roman" w:hAnsi="Times New Roman" w:eastAsia="宋体"/>
          <w:b w:val="0"/>
          <w:sz w:val="24"/>
        </w:rPr>
        <w:t>医院D、E均为集团旗下的二甲综合医院，分别在心血管和呼吸内科、口腔及老年护理方面有其特色。两家二级医院的体量虽小，但专业学科聚焦度高，在各自擅长的领域具有较强的竞争力。</w:t>
      </w:r>
    </w:p>
    <w:p>
      <w:pPr>
        <w:spacing w:line="400" w:lineRule="exact" w:before="0" w:after="0"/>
        <w:ind w:firstLine="480"/>
        <w:jc w:val="both"/>
      </w:pPr>
      <w:r>
        <w:rPr>
          <w:rFonts w:ascii="Times New Roman" w:hAnsi="Times New Roman" w:eastAsia="宋体"/>
          <w:b w:val="0"/>
          <w:sz w:val="24"/>
        </w:rPr>
        <w:t>三家三甲综合医院形成了学科互补的基础。然而，由于各医院原属不同的管理体制，在被集团整合之前的信息化建设路径各不相同，目前的信息系统架构存在显著差异——医院A使用A厂商V5.2版本（国内某头部医疗IT厂商），医院B和医院D、E分别使用B厂商V3.8、V3.5、V3.4版本，医院C使用C厂商V4.5版本。这三个厂商五个版本的HIS系统在数据模型、接口标准和业务流程设计上均存在根本性差异，为后续的多院区业务协同带来了结构性挑战。</w:t>
      </w:r>
    </w:p>
    <w:p>
      <w:pPr>
        <w:spacing w:line="400" w:lineRule="exact" w:before="0" w:after="0"/>
        <w:ind w:firstLine="480"/>
        <w:jc w:val="both"/>
      </w:pPr>
      <w:r>
        <w:rPr>
          <w:rFonts w:ascii="Times New Roman" w:hAnsi="Times New Roman" w:eastAsia="宋体"/>
          <w:b w:val="0"/>
          <w:sz w:val="24"/>
        </w:rPr>
        <w:t>A医药集团的组织架构在集团层面采用“集团—医院”两级管理模式。集团层面设置运营管理部、数字管理部、财务部、人力资源部等职能部门，负责战略规划、资源配置和绩效管控；各医院作为独立法人运营，拥有相对完整的行政管理体系和临床科室设置。在此基础上，互联网医院平台自身有产品部门、运营部门、技术部门等，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pPr>
        <w:spacing w:line="240" w:lineRule="auto" w:before="240" w:after="120"/>
        <w:ind w:firstLine="520"/>
        <w:outlineLvl w:val="2"/>
      </w:pPr>
      <w:r>
        <w:rPr>
          <w:rFonts w:ascii="Times New Roman" w:hAnsi="Times New Roman" w:eastAsia="黑体"/>
          <w:b/>
          <w:sz w:val="26"/>
        </w:rPr>
        <w:t>二、互联网医院平台建设历程</w:t>
      </w:r>
    </w:p>
    <w:p>
      <w:pPr>
        <w:spacing w:line="400" w:lineRule="exact" w:before="0" w:after="0"/>
        <w:ind w:firstLine="480"/>
        <w:jc w:val="both"/>
      </w:pPr>
      <w:r>
        <w:rPr>
          <w:rFonts w:ascii="Times New Roman" w:hAnsi="Times New Roman" w:eastAsia="宋体"/>
          <w:b w:val="0"/>
          <w:sz w:val="24"/>
        </w:rPr>
        <w:t>A医药集团的互联网医院平台规划始于2020年，可大致划分为三个阶段。</w:t>
      </w:r>
    </w:p>
    <w:p>
      <w:pPr>
        <w:spacing w:line="400" w:lineRule="exact" w:before="0" w:after="0"/>
        <w:ind w:firstLine="480"/>
        <w:jc w:val="both"/>
      </w:pPr>
      <w:r>
        <w:rPr>
          <w:rFonts w:ascii="Times New Roman" w:hAnsi="Times New Roman" w:eastAsia="宋体"/>
          <w:b w:val="0"/>
          <w:sz w:val="24"/>
        </w:rPr>
        <w:t>第一阶段为探索规划期（2020年至2021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2021年初，集团决策层正式将互联网医院列为集团信息化建设的头号工程。</w:t>
      </w:r>
    </w:p>
    <w:p>
      <w:pPr>
        <w:spacing w:line="400" w:lineRule="exact" w:before="0" w:after="0"/>
        <w:ind w:firstLine="480"/>
        <w:jc w:val="both"/>
      </w:pPr>
      <w:r>
        <w:rPr>
          <w:rFonts w:ascii="Times New Roman" w:hAnsi="Times New Roman" w:eastAsia="宋体"/>
          <w:b w:val="0"/>
          <w:sz w:val="24"/>
        </w:rPr>
        <w:t>第二阶段为功能扩展期（2021年下半年至2023年）。2021年下半年，A医药集团决定加大对互联网医院平台的投入力度，将年度IT预算的30%专项投入互联网医院建设。集团组建了由15名开发人员和5名产品经理组成的专门技术团队。这一阶段新增了视频问诊、电子处方、药品配送、检查预约和报告查询等核心功能模块，与此同时，统一管理平台上线，运营数据开始集中管理。平台与医院A的HIS系统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2023年底，累计注册用户已超过三十万人，月活跃用户突破两万人。医院A、B、C均已接入统一平台，患者在平台上可以选择任意一家医院进行在线问诊。</w:t>
      </w:r>
    </w:p>
    <w:p>
      <w:pPr>
        <w:spacing w:line="400" w:lineRule="exact" w:before="0" w:after="0"/>
        <w:ind w:firstLine="480"/>
        <w:jc w:val="both"/>
      </w:pPr>
      <w:r>
        <w:rPr>
          <w:rFonts w:ascii="Times New Roman" w:hAnsi="Times New Roman" w:eastAsia="宋体"/>
          <w:b w:val="0"/>
          <w:sz w:val="24"/>
        </w:rPr>
        <w:t>第三阶段为多院区深化协同期（2024年至今）。2024年初，集团明确提出“一个平台、多院深化协同”的信息化战略目标，将互联网医院平台定位为集团医疗服务统一的线上入口。技术团队对平台架构进行了重构，采用微服务架构以支持多院区的灵活接入。截至本研究数据采集时点（2026年5月底），平台已累计注册用户超九十万，服务患者超过一百五十万人次，沉淀了一千余万条事件日志数据，为本研究的数据驱动分析奠定了数据基础。需要说明的是，本研究事件日志数据覆盖2022年6月至2026年5月，采集时点为2026年6月；文中涉及“截至2026年5月”的平台运营数据（如合作药店数量、处方流转单量）来自集团最新管理平台。</w:t>
      </w:r>
    </w:p>
    <w:p>
      <w:pPr>
        <w:spacing w:line="400" w:lineRule="exact" w:before="0" w:after="0"/>
        <w:ind w:firstLine="480"/>
        <w:jc w:val="both"/>
      </w:pPr>
      <w:r>
        <w:rPr>
          <w:rFonts w:ascii="Times New Roman" w:hAnsi="Times New Roman" w:eastAsia="宋体"/>
          <w:b w:val="0"/>
          <w:sz w:val="24"/>
        </w:rPr>
        <w:t>从运营数据来看，互联网医院的关键时间节点包括：2022年3月获批第一张互联网医院牌照，2022年6月互联网医院正式运行，2023年4月启动处方流转业务。截至2026年5月，平台已签约合作药店1000余家，2023年至2026年5月期间处方流转续方累计达60余万单。这些数据表明，A医药集团互联网医院已从早期的探索阶段进入到规模化运营阶段，但同时也意味着流程中的效率问题和管理挑战将更加凸显。</w:t>
      </w:r>
    </w:p>
    <w:p>
      <w:pPr>
        <w:spacing w:line="240" w:lineRule="auto" w:before="480" w:after="120"/>
        <w:jc w:val="center"/>
        <w:outlineLvl w:val="1"/>
      </w:pPr>
      <w:r>
        <w:rPr>
          <w:rFonts w:ascii="Times New Roman" w:hAnsi="Times New Roman" w:eastAsia="黑体"/>
          <w:b/>
          <w:sz w:val="28"/>
        </w:rPr>
        <w:t>第二节　互联网医院平台功能与数据基础</w:t>
      </w:r>
    </w:p>
    <w:p>
      <w:pPr>
        <w:spacing w:line="240" w:lineRule="auto" w:before="240" w:after="120"/>
        <w:ind w:firstLine="520"/>
        <w:outlineLvl w:val="2"/>
      </w:pPr>
      <w:r>
        <w:rPr>
          <w:rFonts w:ascii="Times New Roman" w:hAnsi="Times New Roman" w:eastAsia="黑体"/>
          <w:b/>
          <w:sz w:val="26"/>
        </w:rPr>
        <w:t>一、平台功能模块</w:t>
      </w:r>
    </w:p>
    <w:p>
      <w:pPr>
        <w:spacing w:line="400" w:lineRule="exact" w:before="0" w:after="0"/>
        <w:ind w:firstLine="480"/>
        <w:jc w:val="both"/>
      </w:pPr>
      <w:r>
        <w:rPr>
          <w:rFonts w:ascii="Times New Roman" w:hAnsi="Times New Roman" w:eastAsia="宋体"/>
          <w:b w:val="0"/>
          <w:sz w:val="24"/>
        </w:rPr>
        <w:t>A医药集团互联网医院平台面向患者端（微信小程序和手机应用）和医生端（电脑工作站和移动端应用）分别提供了以下功能模块。</w:t>
      </w:r>
    </w:p>
    <w:p>
      <w:pPr>
        <w:spacing w:line="400" w:lineRule="exact" w:before="0" w:after="0"/>
        <w:ind w:firstLine="480"/>
        <w:jc w:val="both"/>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pPr>
        <w:spacing w:line="400" w:lineRule="exact" w:before="0" w:after="0"/>
        <w:ind w:firstLine="480"/>
        <w:jc w:val="both"/>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医疗结构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pPr>
        <w:jc w:val="center"/>
      </w:pPr>
      <w:r>
        <w:drawing>
          <wp:inline xmlns:a="http://schemas.openxmlformats.org/drawingml/2006/main" xmlns:pic="http://schemas.openxmlformats.org/drawingml/2006/picture">
            <wp:extent cx="5040000" cy="3203536"/>
            <wp:docPr id="7" name="Picture 7"/>
            <wp:cNvGraphicFramePr>
              <a:graphicFrameLocks noChangeAspect="1"/>
            </wp:cNvGraphicFramePr>
            <a:graphic>
              <a:graphicData uri="http://schemas.openxmlformats.org/drawingml/2006/picture">
                <pic:pic>
                  <pic:nvPicPr>
                    <pic:cNvPr id="0" name="图3.2-平台建设三阶段历程.png"/>
                    <pic:cNvPicPr/>
                  </pic:nvPicPr>
                  <pic:blipFill>
                    <a:blip r:embed="rId17"/>
                    <a:stretch>
                      <a:fillRect/>
                    </a:stretch>
                  </pic:blipFill>
                  <pic:spPr>
                    <a:xfrm>
                      <a:off x="0" y="0"/>
                      <a:ext cx="5040000" cy="3203536"/>
                    </a:xfrm>
                    <a:prstGeom prst="rect"/>
                  </pic:spPr>
                </pic:pic>
              </a:graphicData>
            </a:graphic>
          </wp:inline>
        </w:drawing>
      </w:r>
    </w:p>
    <w:p>
      <w:pPr>
        <w:spacing w:line="240" w:lineRule="auto" w:before="120" w:after="240"/>
        <w:jc w:val="center"/>
      </w:pPr>
      <w:r>
        <w:rPr>
          <w:rFonts w:ascii="Times New Roman" w:hAnsi="Times New Roman" w:eastAsia="宋体"/>
          <w:b w:val="0"/>
          <w:sz w:val="21"/>
        </w:rPr>
        <w:t>图3.2　互联网医院平台建设三阶段</w:t>
      </w:r>
    </w:p>
    <w:p>
      <w:pPr>
        <w:spacing w:line="400" w:lineRule="exact" w:before="0" w:after="0"/>
        <w:ind w:firstLine="480"/>
        <w:jc w:val="both"/>
      </w:pPr>
      <w:r>
        <w:rPr>
          <w:rFonts w:ascii="Times New Roman" w:hAnsi="Times New Roman" w:eastAsia="宋体"/>
          <w:b w:val="0"/>
          <w:sz w:val="24"/>
        </w:rPr>
        <w:t>后台管理系统（即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pPr>
        <w:spacing w:line="400" w:lineRule="exact" w:before="0" w:after="0"/>
        <w:ind w:firstLine="480"/>
        <w:jc w:val="both"/>
      </w:pPr>
      <w:r>
        <w:rPr>
          <w:rFonts w:ascii="Times New Roman" w:hAnsi="Times New Roman" w:eastAsia="宋体"/>
          <w:b w:val="0"/>
          <w:sz w:val="24"/>
        </w:rPr>
        <w:t>在技术架构方面，互联网医院平台依托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pPr>
        <w:spacing w:line="240" w:lineRule="auto" w:before="240" w:after="120"/>
        <w:ind w:firstLine="520"/>
        <w:outlineLvl w:val="2"/>
      </w:pPr>
      <w:r>
        <w:rPr>
          <w:rFonts w:ascii="Times New Roman" w:hAnsi="Times New Roman" w:eastAsia="黑体"/>
          <w:b/>
          <w:sz w:val="26"/>
        </w:rPr>
        <w:t>二、平台核心数据字段</w:t>
      </w:r>
    </w:p>
    <w:p>
      <w:pPr>
        <w:spacing w:line="400" w:lineRule="exact" w:before="0" w:after="0"/>
        <w:ind w:firstLine="480"/>
        <w:jc w:val="both"/>
      </w:pPr>
      <w:r>
        <w:rPr>
          <w:rFonts w:ascii="Times New Roman" w:hAnsi="Times New Roman" w:eastAsia="宋体"/>
          <w:b w:val="0"/>
          <w:sz w:val="24"/>
        </w:rPr>
        <w:t>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pPr>
        <w:spacing w:line="400" w:lineRule="exact" w:before="0" w:after="0"/>
        <w:ind w:firstLine="480"/>
        <w:jc w:val="both"/>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pPr>
        <w:spacing w:line="400" w:lineRule="exact" w:before="0" w:after="0"/>
        <w:ind w:firstLine="480"/>
        <w:jc w:val="both"/>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pPr>
        <w:spacing w:line="400" w:lineRule="exact" w:before="0" w:after="0"/>
        <w:ind w:firstLine="480"/>
        <w:jc w:val="both"/>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pPr>
        <w:spacing w:line="240" w:lineRule="auto" w:before="120" w:after="120"/>
        <w:jc w:val="center"/>
      </w:pPr>
      <w:r>
        <w:rPr>
          <w:rFonts w:ascii="Times New Roman" w:hAnsi="Times New Roman" w:eastAsia="宋体"/>
          <w:b w:val="0"/>
          <w:sz w:val="21"/>
        </w:rPr>
        <w:t>表3.2　互联网医院平台核心数据字段一览</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数据域</w:t>
            </w:r>
          </w:p>
        </w:tc>
        <w:tc>
          <w:tcPr>
            <w:tcW w:type="dxa" w:w="2153"/>
            <w:tcBorders>
              <w:bottom w:val="single" w:sz="12" w:space="0" w:color="000000"/>
            </w:tcBorders>
          </w:tcPr>
          <w:p>
            <w:pPr>
              <w:jc w:val="center"/>
            </w:pPr>
            <w:r/>
            <w:r>
              <w:rPr>
                <w:rFonts w:ascii="Times New Roman" w:hAnsi="Times New Roman" w:eastAsia="宋体"/>
                <w:b/>
                <w:sz w:val="20"/>
              </w:rPr>
              <w:t>字段名称</w:t>
            </w:r>
          </w:p>
        </w:tc>
        <w:tc>
          <w:tcPr>
            <w:tcW w:type="dxa" w:w="2153"/>
            <w:tcBorders>
              <w:bottom w:val="single" w:sz="12" w:space="0" w:color="000000"/>
            </w:tcBorders>
          </w:tcPr>
          <w:p>
            <w:pPr>
              <w:jc w:val="center"/>
            </w:pPr>
            <w:r/>
            <w:r>
              <w:rPr>
                <w:rFonts w:ascii="Times New Roman" w:hAnsi="Times New Roman" w:eastAsia="宋体"/>
                <w:b/>
                <w:sz w:val="20"/>
              </w:rPr>
              <w:t>数据类型</w:t>
            </w:r>
          </w:p>
        </w:tc>
        <w:tc>
          <w:tcPr>
            <w:tcW w:type="dxa" w:w="2153"/>
            <w:tcBorders>
              <w:bottom w:val="single" w:sz="12" w:space="0" w:color="000000"/>
            </w:tcBorders>
          </w:tcPr>
          <w:p>
            <w:pPr>
              <w:jc w:val="center"/>
            </w:pPr>
            <w:r/>
            <w:r>
              <w:rPr>
                <w:rFonts w:ascii="Times New Roman" w:hAnsi="Times New Roman" w:eastAsia="宋体"/>
                <w:b/>
                <w:sz w:val="20"/>
              </w:rPr>
              <w:t>说明</w:t>
            </w:r>
          </w:p>
        </w:tc>
      </w:tr>
      <w:tr>
        <w:tc>
          <w:tcPr>
            <w:tcW w:type="dxa" w:w="2153"/>
          </w:tcPr>
          <w:p>
            <w:r/>
            <w:r>
              <w:rPr>
                <w:rFonts w:ascii="Times New Roman" w:hAnsi="Times New Roman" w:eastAsia="宋体"/>
                <w:sz w:val="20"/>
              </w:rPr>
              <w:t>患者信息</w:t>
            </w:r>
          </w:p>
        </w:tc>
        <w:tc>
          <w:tcPr>
            <w:tcW w:type="dxa" w:w="2153"/>
          </w:tcPr>
          <w:p>
            <w:r/>
            <w:r>
              <w:rPr>
                <w:rFonts w:ascii="Times New Roman" w:hAnsi="Times New Roman" w:eastAsia="宋体"/>
                <w:sz w:val="20"/>
              </w:rPr>
              <w:t>患者ID</w:t>
            </w:r>
          </w:p>
        </w:tc>
        <w:tc>
          <w:tcPr>
            <w:tcW w:type="dxa" w:w="2153"/>
          </w:tcPr>
          <w:p>
            <w:r/>
            <w:r>
              <w:rPr>
                <w:rFonts w:ascii="Times New Roman" w:hAnsi="Times New Roman" w:eastAsia="宋体"/>
                <w:sz w:val="20"/>
              </w:rPr>
              <w:t>脱敏编码</w:t>
            </w:r>
          </w:p>
        </w:tc>
        <w:tc>
          <w:tcPr>
            <w:tcW w:type="dxa" w:w="2153"/>
          </w:tcPr>
          <w:p>
            <w:r/>
            <w:r>
              <w:rPr>
                <w:rFonts w:ascii="Times New Roman" w:hAnsi="Times New Roman" w:eastAsia="宋体"/>
                <w:sz w:val="20"/>
              </w:rPr>
              <w:t>唯一标识，跨院区统一</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年龄区间</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18-30/31-45/46-60/60+</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性别</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男/女</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注册院区</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首次注册选择的院区</w:t>
            </w:r>
          </w:p>
        </w:tc>
      </w:tr>
      <w:tr>
        <w:tc>
          <w:tcPr>
            <w:tcW w:type="dxa" w:w="2153"/>
          </w:tcPr>
          <w:p>
            <w:r/>
            <w:r>
              <w:rPr>
                <w:rFonts w:ascii="Times New Roman" w:hAnsi="Times New Roman" w:eastAsia="宋体"/>
                <w:sz w:val="20"/>
              </w:rPr>
              <w:t>事件日志</w:t>
            </w:r>
          </w:p>
        </w:tc>
        <w:tc>
          <w:tcPr>
            <w:tcW w:type="dxa" w:w="2153"/>
          </w:tcPr>
          <w:p>
            <w:r/>
            <w:r>
              <w:rPr>
                <w:rFonts w:ascii="Times New Roman" w:hAnsi="Times New Roman" w:eastAsia="宋体"/>
                <w:sz w:val="20"/>
              </w:rPr>
              <w:t>事件ID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每次业务操作的唯一标识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案例ID</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一次完整就诊的标识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事件类型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问诊/处方/检查申请/检查完成/取药等</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时间戳</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操作者</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医生ID或患者ID</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操作者角色</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患者/医生/药师/系统</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发生院区</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医院A/B/C/D/E</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所属科室</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内科/外科/妇产科/儿科等</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事件状态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进行中/已完成/已取消</w:t>
            </w:r>
          </w:p>
        </w:tc>
      </w:tr>
      <w:tr>
        <w:tc>
          <w:tcPr>
            <w:tcW w:type="dxa" w:w="2153"/>
          </w:tcPr>
          <w:p>
            <w:r/>
            <w:r>
              <w:rPr>
                <w:rFonts w:ascii="Times New Roman" w:hAnsi="Times New Roman" w:eastAsia="宋体"/>
                <w:sz w:val="20"/>
              </w:rPr>
              <w:t>问诊记录</w:t>
            </w:r>
          </w:p>
        </w:tc>
        <w:tc>
          <w:tcPr>
            <w:tcW w:type="dxa" w:w="2153"/>
          </w:tcPr>
          <w:p>
            <w:r/>
            <w:r>
              <w:rPr>
                <w:rFonts w:ascii="Times New Roman" w:hAnsi="Times New Roman" w:eastAsia="宋体"/>
                <w:sz w:val="20"/>
              </w:rPr>
              <w:t>问诊ID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每次问诊的唯一标识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图文/语音/视频</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问诊开始时间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接诊时间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问诊结束时间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诊断结果</w:t>
            </w:r>
          </w:p>
        </w:tc>
        <w:tc>
          <w:tcPr>
            <w:tcW w:type="dxa" w:w="2153"/>
          </w:tcPr>
          <w:p>
            <w:r/>
            <w:r>
              <w:rPr>
                <w:rFonts w:ascii="Times New Roman" w:hAnsi="Times New Roman" w:eastAsia="宋体"/>
                <w:sz w:val="20"/>
              </w:rPr>
              <w:t>文本</w:t>
            </w:r>
          </w:p>
        </w:tc>
        <w:tc>
          <w:tcPr>
            <w:tcW w:type="dxa" w:w="2153"/>
          </w:tcPr>
          <w:p>
            <w:r/>
            <w:r>
              <w:rPr>
                <w:rFonts w:ascii="Times New Roman" w:hAnsi="Times New Roman" w:eastAsia="宋体"/>
                <w:sz w:val="20"/>
              </w:rPr>
              <w:t>医生的初步诊断</w:t>
            </w:r>
          </w:p>
        </w:tc>
      </w:tr>
      <w:tr>
        <w:tc>
          <w:tcPr>
            <w:tcW w:type="dxa" w:w="2153"/>
          </w:tcPr>
          <w:p>
            <w:r/>
            <w:r>
              <w:rPr>
                <w:rFonts w:ascii="Times New Roman" w:hAnsi="Times New Roman" w:eastAsia="宋体"/>
                <w:sz w:val="20"/>
              </w:rPr>
              <w:t>处方记录</w:t>
            </w:r>
          </w:p>
        </w:tc>
        <w:tc>
          <w:tcPr>
            <w:tcW w:type="dxa" w:w="2153"/>
          </w:tcPr>
          <w:p>
            <w:r/>
            <w:r>
              <w:rPr>
                <w:rFonts w:ascii="Times New Roman" w:hAnsi="Times New Roman" w:eastAsia="宋体"/>
                <w:sz w:val="20"/>
              </w:rPr>
              <w:t>处方ID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每次处方的唯一标识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西药/中成药/中药饮片</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药品数量</w:t>
            </w:r>
          </w:p>
        </w:tc>
        <w:tc>
          <w:tcPr>
            <w:tcW w:type="dxa" w:w="2153"/>
          </w:tcPr>
          <w:p>
            <w:r/>
            <w:r>
              <w:rPr>
                <w:rFonts w:ascii="Times New Roman" w:hAnsi="Times New Roman" w:eastAsia="宋体"/>
                <w:sz w:val="20"/>
              </w:rPr>
              <w:t>数值</w:t>
            </w:r>
          </w:p>
        </w:tc>
        <w:tc>
          <w:tcPr>
            <w:tcW w:type="dxa" w:w="2153"/>
          </w:tcPr>
          <w:p>
            <w:r/>
            <w:r>
              <w:rPr>
                <w:rFonts w:ascii="Times New Roman" w:hAnsi="Times New Roman" w:eastAsia="宋体"/>
                <w:sz w:val="20"/>
              </w:rPr>
              <w:t>处方中的药品品种数</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处方金额</w:t>
            </w:r>
          </w:p>
        </w:tc>
        <w:tc>
          <w:tcPr>
            <w:tcW w:type="dxa" w:w="2153"/>
          </w:tcPr>
          <w:p>
            <w:r/>
            <w:r>
              <w:rPr>
                <w:rFonts w:ascii="Times New Roman" w:hAnsi="Times New Roman" w:eastAsia="宋体"/>
                <w:sz w:val="20"/>
              </w:rPr>
              <w:t>数值</w:t>
            </w:r>
          </w:p>
        </w:tc>
        <w:tc>
          <w:tcPr>
            <w:tcW w:type="dxa" w:w="2153"/>
          </w:tcPr>
          <w:p>
            <w:r/>
            <w:r>
              <w:rPr>
                <w:rFonts w:ascii="Times New Roman" w:hAnsi="Times New Roman" w:eastAsia="宋体"/>
                <w:sz w:val="20"/>
              </w:rPr>
              <w:t>金额（元）</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待审核/已审核/已调配/已取药</w:t>
            </w:r>
          </w:p>
        </w:tc>
      </w:tr>
      <w:tr>
        <w:tc>
          <w:tcPr>
            <w:tcW w:type="dxa" w:w="2153"/>
          </w:tcPr>
          <w:p>
            <w:r/>
            <w:r>
              <w:rPr>
                <w:rFonts w:ascii="Times New Roman" w:hAnsi="Times New Roman" w:eastAsia="宋体"/>
                <w:sz w:val="20"/>
              </w:rPr>
              <w:t>检查记录</w:t>
            </w:r>
          </w:p>
        </w:tc>
        <w:tc>
          <w:tcPr>
            <w:tcW w:type="dxa" w:w="2153"/>
          </w:tcPr>
          <w:p>
            <w:r/>
            <w:r>
              <w:rPr>
                <w:rFonts w:ascii="Times New Roman" w:hAnsi="Times New Roman" w:eastAsia="宋体"/>
                <w:sz w:val="20"/>
              </w:rPr>
              <w:t>检查ID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每次检查申请的唯一标识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检查类型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检验/影像/功能检查</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申请时间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预约时间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完成时间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检查状态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待预约/已预约/已完成</w:t>
            </w:r>
          </w:p>
        </w:tc>
      </w:tr>
    </w:tbl>
    <w:p/>
    <w:p>
      <w:pPr>
        <w:spacing w:line="240" w:lineRule="auto" w:before="240" w:after="120"/>
        <w:ind w:firstLine="520"/>
        <w:outlineLvl w:val="2"/>
      </w:pPr>
      <w:r>
        <w:rPr>
          <w:rFonts w:ascii="Times New Roman" w:hAnsi="Times New Roman" w:eastAsia="黑体"/>
          <w:b/>
          <w:sz w:val="26"/>
        </w:rPr>
        <w:t>三、数据规模与概况</w:t>
      </w:r>
    </w:p>
    <w:p>
      <w:pPr>
        <w:spacing w:line="400" w:lineRule="exact" w:before="0" w:after="0"/>
        <w:ind w:firstLine="480"/>
        <w:jc w:val="both"/>
      </w:pPr>
      <w:r>
        <w:rPr>
          <w:rFonts w:ascii="Times New Roman" w:hAnsi="Times New Roman" w:eastAsia="宋体"/>
          <w:b w:val="0"/>
          <w:sz w:val="24"/>
        </w:rPr>
        <w:t>截至2026年5月，管理平台已积累事件日志数据共计1150万条，覆盖时间范围为2022年6月至2026年5月，跨度48个月。数据增长的轨迹很清楚：平台上线初期（2022年下半年）月均事件量约5.7万条，随着更多院区接入、用户习惯逐步养成，到2025年月均已增至约37万条，一路上行。事件类型上，问诊类占比最高（约38%），处方类次之（约25%），检查类约20%，取药类约12%，其余事件约5%。院区分布则明显向标杆医院倾斜：医院A的事件量占约45%，医院B、医院C各约20%，医院D和医院E合计约15%。</w:t>
      </w:r>
    </w:p>
    <w:p>
      <w:pPr>
        <w:spacing w:line="400" w:lineRule="exact" w:before="0" w:after="0"/>
        <w:ind w:firstLine="480"/>
        <w:jc w:val="both"/>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pPr>
        <w:spacing w:line="240" w:lineRule="auto" w:before="480" w:after="120"/>
        <w:jc w:val="center"/>
        <w:outlineLvl w:val="1"/>
      </w:pPr>
      <w:r>
        <w:rPr>
          <w:rFonts w:ascii="Times New Roman" w:hAnsi="Times New Roman" w:eastAsia="黑体"/>
          <w:b/>
          <w:sz w:val="28"/>
        </w:rPr>
        <w:t>第三节　核心业务流程</w:t>
      </w:r>
    </w:p>
    <w:p>
      <w:pPr>
        <w:spacing w:line="240" w:lineRule="auto" w:before="240" w:after="120"/>
        <w:ind w:firstLine="520"/>
        <w:outlineLvl w:val="2"/>
      </w:pPr>
      <w:r>
        <w:rPr>
          <w:rFonts w:ascii="Times New Roman" w:hAnsi="Times New Roman" w:eastAsia="黑体"/>
          <w:b/>
          <w:sz w:val="26"/>
        </w:rPr>
        <w:t>一、线上问诊流程</w:t>
      </w:r>
    </w:p>
    <w:p>
      <w:pPr>
        <w:spacing w:line="400" w:lineRule="exact" w:before="0" w:after="0"/>
        <w:ind w:firstLine="480"/>
        <w:jc w:val="both"/>
      </w:pPr>
      <w:r>
        <w:rPr>
          <w:rFonts w:ascii="Times New Roman" w:hAnsi="Times New Roman" w:eastAsia="宋体"/>
          <w:b w:val="0"/>
          <w:sz w:val="24"/>
        </w:rPr>
        <w:t>线上问诊是互联网医院平台最核心的服务入口。患者通过微信小程序进入平台后，首先选择就诊院区和科室，系统展示该科室的可接诊医生列表及其排班信息。患者可选择指定医生或由系统自动分配，随后进入问诊申请环节，填写主诉症状、上传相关图片资料，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pPr>
        <w:jc w:val="center"/>
      </w:pPr>
      <w:r>
        <w:drawing>
          <wp:inline xmlns:a="http://schemas.openxmlformats.org/drawingml/2006/main" xmlns:pic="http://schemas.openxmlformats.org/drawingml/2006/picture">
            <wp:extent cx="5040000" cy="4096638"/>
            <wp:docPr id="8" name="Picture 8"/>
            <wp:cNvGraphicFramePr>
              <a:graphicFrameLocks noChangeAspect="1"/>
            </wp:cNvGraphicFramePr>
            <a:graphic>
              <a:graphicData uri="http://schemas.openxmlformats.org/drawingml/2006/picture">
                <pic:pic>
                  <pic:nvPicPr>
                    <pic:cNvPr id="0" name="图3.3-核心业务流程图.png"/>
                    <pic:cNvPicPr/>
                  </pic:nvPicPr>
                  <pic:blipFill>
                    <a:blip r:embed="rId18"/>
                    <a:stretch>
                      <a:fillRect/>
                    </a:stretch>
                  </pic:blipFill>
                  <pic:spPr>
                    <a:xfrm>
                      <a:off x="0" y="0"/>
                      <a:ext cx="5040000" cy="4096638"/>
                    </a:xfrm>
                    <a:prstGeom prst="rect"/>
                  </pic:spPr>
                </pic:pic>
              </a:graphicData>
            </a:graphic>
          </wp:inline>
        </w:drawing>
      </w:r>
    </w:p>
    <w:p>
      <w:pPr>
        <w:spacing w:line="240" w:lineRule="auto" w:before="120" w:after="240"/>
        <w:jc w:val="center"/>
      </w:pPr>
      <w:r>
        <w:rPr>
          <w:rFonts w:ascii="Times New Roman" w:hAnsi="Times New Roman" w:eastAsia="宋体"/>
          <w:b w:val="0"/>
          <w:sz w:val="21"/>
        </w:rPr>
        <w:t>图3.3　核心业务流程</w:t>
      </w:r>
    </w:p>
    <w:p>
      <w:pPr>
        <w:spacing w:line="400" w:lineRule="exact" w:before="0" w:after="0"/>
        <w:ind w:firstLine="480"/>
        <w:jc w:val="both"/>
      </w:pPr>
      <w:r>
        <w:rPr>
          <w:rFonts w:ascii="Times New Roman" w:hAnsi="Times New Roman" w:eastAsia="宋体"/>
          <w:b w:val="0"/>
          <w:sz w:val="24"/>
        </w:rPr>
        <w:t>从流程效率角度看，当前在线问诊流程存在四个突出问题。患者选择院区和医生要经过多次页面跳转：首页到院区选择页、到科室列表页、到医生列表页、再到医生详情页，平均4-5次点击才能到达问诊申请页面，路径偏长。接诊时间又受排班制度约束：非排班时段的问诊请求只能等下一个排班时段。以医院A为例，在线问诊排班只覆盖工作日上午8:00至下午5:00，晚班和周末覆盖率不足30%，非工作时间的问诊请求平均等待时间延长至2小时以上。再往下走，问诊结束后如需线下检查，患者需从线上平台转回线下，拿着平台生成的检查申请码到线下检查科室，在前台重新排队登记，两个环节之间没有系统化的信息传递。此外，不同问诊方式效率差异显著，图文问诊平均接诊时长5.8分钟，语音9.2分钟，视频12.5分钟，但平台没有对适用场景做明确引导和分流，结果是简单咨询挤占了视频问诊资源，而真正需要直观展示病情的患者反而选了信息承载量有限的图文问诊。</w:t>
      </w:r>
    </w:p>
    <w:p>
      <w:pPr>
        <w:spacing w:line="240" w:lineRule="auto" w:before="240" w:after="120"/>
        <w:ind w:firstLine="520"/>
        <w:outlineLvl w:val="2"/>
      </w:pPr>
      <w:r>
        <w:rPr>
          <w:rFonts w:ascii="Times New Roman" w:hAnsi="Times New Roman" w:eastAsia="黑体"/>
          <w:b/>
          <w:sz w:val="26"/>
        </w:rPr>
        <w:t>二、处方开具与审核流程</w:t>
      </w:r>
    </w:p>
    <w:p>
      <w:pPr>
        <w:spacing w:line="400" w:lineRule="exact" w:before="0" w:after="0"/>
        <w:ind w:firstLine="480"/>
        <w:jc w:val="both"/>
      </w:pPr>
      <w:r>
        <w:rPr>
          <w:rFonts w:ascii="Times New Roman" w:hAnsi="Times New Roman" w:eastAsia="宋体"/>
          <w:b w:val="0"/>
          <w:sz w:val="24"/>
        </w:rPr>
        <w:t>当医生在问诊过程中判断患者需要药物治疗时，可在平台医生端中开具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pPr>
        <w:spacing w:line="400" w:lineRule="exact" w:before="0" w:after="0"/>
        <w:ind w:firstLine="480"/>
        <w:jc w:val="both"/>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向直接到定点合作零售药店购药的复诊患者，流程涵盖线上挂号问诊、在线申请续方、医师开药、药师审方、药店结算购药等环节，是当前运营最为成熟的模式。“到院”场景面向在院内就诊的患者，医师开具处方后通过HIS系统自动拆分，将处方引导至院内药房或院外定点零售药店，实现“诊间开方—处方拆分—短信推送—药店选择—支付取药”的线下线上融合路径，有效解决了医院药房无相关药品的困扰，并缓解了医院药占比压力。“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pPr>
        <w:jc w:val="center"/>
      </w:pPr>
      <w:r>
        <w:drawing>
          <wp:inline xmlns:a="http://schemas.openxmlformats.org/drawingml/2006/main" xmlns:pic="http://schemas.openxmlformats.org/drawingml/2006/picture">
            <wp:extent cx="5040000" cy="4417643"/>
            <wp:docPr id="9" name="Picture 9"/>
            <wp:cNvGraphicFramePr>
              <a:graphicFrameLocks noChangeAspect="1"/>
            </wp:cNvGraphicFramePr>
            <a:graphic>
              <a:graphicData uri="http://schemas.openxmlformats.org/drawingml/2006/picture">
                <pic:pic>
                  <pic:nvPicPr>
                    <pic:cNvPr id="0" name="图3.4-三类处方流转场景.png"/>
                    <pic:cNvPicPr/>
                  </pic:nvPicPr>
                  <pic:blipFill>
                    <a:blip r:embed="rId19"/>
                    <a:stretch>
                      <a:fillRect/>
                    </a:stretch>
                  </pic:blipFill>
                  <pic:spPr>
                    <a:xfrm>
                      <a:off x="0" y="0"/>
                      <a:ext cx="5040000" cy="4417643"/>
                    </a:xfrm>
                    <a:prstGeom prst="rect"/>
                  </pic:spPr>
                </pic:pic>
              </a:graphicData>
            </a:graphic>
          </wp:inline>
        </w:drawing>
      </w:r>
    </w:p>
    <w:p>
      <w:pPr>
        <w:spacing w:line="240" w:lineRule="auto" w:before="120" w:after="240"/>
        <w:jc w:val="center"/>
      </w:pPr>
      <w:r>
        <w:rPr>
          <w:rFonts w:ascii="Times New Roman" w:hAnsi="Times New Roman" w:eastAsia="宋体"/>
          <w:b w:val="0"/>
          <w:sz w:val="21"/>
        </w:rPr>
        <w:t>图3.4　三类处方流转场景</w:t>
      </w:r>
    </w:p>
    <w:p>
      <w:pPr>
        <w:spacing w:line="240" w:lineRule="auto" w:before="120" w:after="120"/>
        <w:jc w:val="center"/>
      </w:pPr>
      <w:r>
        <w:rPr>
          <w:rFonts w:ascii="Times New Roman" w:hAnsi="Times New Roman" w:eastAsia="宋体"/>
          <w:b w:val="0"/>
          <w:sz w:val="21"/>
        </w:rPr>
        <w:t>表3.3　三类处方流转场景对比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场景</w:t>
            </w:r>
          </w:p>
        </w:tc>
        <w:tc>
          <w:tcPr>
            <w:tcW w:type="dxa" w:w="2153"/>
            <w:tcBorders>
              <w:bottom w:val="single" w:sz="12" w:space="0" w:color="000000"/>
            </w:tcBorders>
          </w:tcPr>
          <w:p>
            <w:pPr>
              <w:jc w:val="center"/>
            </w:pPr>
            <w:r/>
            <w:r>
              <w:rPr>
                <w:rFonts w:ascii="Times New Roman" w:hAnsi="Times New Roman" w:eastAsia="宋体"/>
                <w:b/>
                <w:sz w:val="20"/>
              </w:rPr>
              <w:t>服务对象</w:t>
            </w:r>
          </w:p>
        </w:tc>
        <w:tc>
          <w:tcPr>
            <w:tcW w:type="dxa" w:w="2153"/>
            <w:tcBorders>
              <w:bottom w:val="single" w:sz="12" w:space="0" w:color="000000"/>
            </w:tcBorders>
          </w:tcPr>
          <w:p>
            <w:pPr>
              <w:jc w:val="center"/>
            </w:pPr>
            <w:r/>
            <w:r>
              <w:rPr>
                <w:rFonts w:ascii="Times New Roman" w:hAnsi="Times New Roman" w:eastAsia="宋体"/>
                <w:b/>
                <w:sz w:val="20"/>
              </w:rPr>
              <w:t>核心流程</w:t>
            </w:r>
          </w:p>
        </w:tc>
        <w:tc>
          <w:tcPr>
            <w:tcW w:type="dxa" w:w="2153"/>
            <w:tcBorders>
              <w:bottom w:val="single" w:sz="12" w:space="0" w:color="000000"/>
            </w:tcBorders>
          </w:tcPr>
          <w:p>
            <w:pPr>
              <w:jc w:val="center"/>
            </w:pPr>
            <w:r/>
            <w:r>
              <w:rPr>
                <w:rFonts w:ascii="Times New Roman" w:hAnsi="Times New Roman" w:eastAsia="宋体"/>
                <w:b/>
                <w:sz w:val="20"/>
              </w:rPr>
              <w:t>取药方式</w:t>
            </w:r>
          </w:p>
        </w:tc>
      </w:tr>
      <w:tr>
        <w:tc>
          <w:tcPr>
            <w:tcW w:type="dxa" w:w="2153"/>
          </w:tcPr>
          <w:p>
            <w:r/>
            <w:r>
              <w:rPr>
                <w:rFonts w:ascii="Times New Roman" w:hAnsi="Times New Roman" w:eastAsia="宋体"/>
                <w:sz w:val="20"/>
              </w:rPr>
              <w:t>到店</w:t>
            </w:r>
          </w:p>
        </w:tc>
        <w:tc>
          <w:tcPr>
            <w:tcW w:type="dxa" w:w="2153"/>
          </w:tcPr>
          <w:p>
            <w:r/>
            <w:r>
              <w:rPr>
                <w:rFonts w:ascii="Times New Roman" w:hAnsi="Times New Roman" w:eastAsia="宋体"/>
                <w:sz w:val="20"/>
              </w:rPr>
              <w:t>直接到定点合作零售药店购药患者</w:t>
            </w:r>
          </w:p>
        </w:tc>
        <w:tc>
          <w:tcPr>
            <w:tcW w:type="dxa" w:w="2153"/>
          </w:tcPr>
          <w:p>
            <w:r/>
            <w:r>
              <w:rPr>
                <w:rFonts w:ascii="Times New Roman" w:hAnsi="Times New Roman" w:eastAsia="宋体"/>
                <w:sz w:val="20"/>
              </w:rPr>
              <w:t>续方申请→问诊→开方→审方→药店购药</w:t>
            </w:r>
          </w:p>
        </w:tc>
        <w:tc>
          <w:tcPr>
            <w:tcW w:type="dxa" w:w="2153"/>
          </w:tcPr>
          <w:p>
            <w:r/>
            <w:r>
              <w:rPr>
                <w:rFonts w:ascii="Times New Roman" w:hAnsi="Times New Roman" w:eastAsia="宋体"/>
                <w:sz w:val="20"/>
              </w:rPr>
              <w:t>药店自取</w:t>
            </w:r>
          </w:p>
        </w:tc>
      </w:tr>
      <w:tr>
        <w:tc>
          <w:tcPr>
            <w:tcW w:type="dxa" w:w="2153"/>
          </w:tcPr>
          <w:p>
            <w:r/>
            <w:r>
              <w:rPr>
                <w:rFonts w:ascii="Times New Roman" w:hAnsi="Times New Roman" w:eastAsia="宋体"/>
                <w:sz w:val="20"/>
              </w:rPr>
              <w:t>到院</w:t>
            </w:r>
          </w:p>
        </w:tc>
        <w:tc>
          <w:tcPr>
            <w:tcW w:type="dxa" w:w="2153"/>
          </w:tcPr>
          <w:p>
            <w:r/>
            <w:r>
              <w:rPr>
                <w:rFonts w:ascii="Times New Roman" w:hAnsi="Times New Roman" w:eastAsia="宋体"/>
                <w:sz w:val="20"/>
              </w:rPr>
              <w:t>院内就诊患者</w:t>
            </w:r>
          </w:p>
        </w:tc>
        <w:tc>
          <w:tcPr>
            <w:tcW w:type="dxa" w:w="2153"/>
          </w:tcPr>
          <w:p>
            <w:r/>
            <w:r>
              <w:rPr>
                <w:rFonts w:ascii="Times New Roman" w:hAnsi="Times New Roman" w:eastAsia="宋体"/>
                <w:sz w:val="20"/>
              </w:rPr>
              <w:t>诊间开方→系统拆分→推送药店→取药</w:t>
            </w:r>
          </w:p>
        </w:tc>
        <w:tc>
          <w:tcPr>
            <w:tcW w:type="dxa" w:w="2153"/>
          </w:tcPr>
          <w:p>
            <w:r/>
            <w:r>
              <w:rPr>
                <w:rFonts w:ascii="Times New Roman" w:hAnsi="Times New Roman" w:eastAsia="宋体"/>
                <w:sz w:val="20"/>
              </w:rPr>
              <w:t>院外药店</w:t>
            </w:r>
          </w:p>
        </w:tc>
      </w:tr>
      <w:tr>
        <w:tc>
          <w:tcPr>
            <w:tcW w:type="dxa" w:w="2153"/>
          </w:tcPr>
          <w:p>
            <w:r/>
            <w:r>
              <w:rPr>
                <w:rFonts w:ascii="Times New Roman" w:hAnsi="Times New Roman" w:eastAsia="宋体"/>
                <w:sz w:val="20"/>
              </w:rPr>
              <w:t>到线</w:t>
            </w:r>
          </w:p>
        </w:tc>
        <w:tc>
          <w:tcPr>
            <w:tcW w:type="dxa" w:w="2153"/>
          </w:tcPr>
          <w:p>
            <w:r/>
            <w:r>
              <w:rPr>
                <w:rFonts w:ascii="Times New Roman" w:hAnsi="Times New Roman" w:eastAsia="宋体"/>
                <w:sz w:val="20"/>
              </w:rPr>
              <w:t>线上复诊患者</w:t>
            </w:r>
          </w:p>
        </w:tc>
        <w:tc>
          <w:tcPr>
            <w:tcW w:type="dxa" w:w="2153"/>
          </w:tcPr>
          <w:p>
            <w:r/>
            <w:r>
              <w:rPr>
                <w:rFonts w:ascii="Times New Roman" w:hAnsi="Times New Roman" w:eastAsia="宋体"/>
                <w:sz w:val="20"/>
              </w:rPr>
              <w:t>在线问诊→电子处方→药店选择→配送/自提</w:t>
            </w:r>
          </w:p>
        </w:tc>
        <w:tc>
          <w:tcPr>
            <w:tcW w:type="dxa" w:w="2153"/>
          </w:tcPr>
          <w:p>
            <w:r/>
            <w:r>
              <w:rPr>
                <w:rFonts w:ascii="Times New Roman" w:hAnsi="Times New Roman" w:eastAsia="宋体"/>
                <w:sz w:val="20"/>
              </w:rPr>
              <w:t>配送到家/到店自提</w:t>
            </w:r>
          </w:p>
        </w:tc>
      </w:tr>
    </w:tbl>
    <w:p/>
    <w:p>
      <w:pPr>
        <w:spacing w:line="400" w:lineRule="exact" w:before="0" w:after="0"/>
        <w:ind w:firstLine="480"/>
        <w:jc w:val="both"/>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AI智能审方引擎（基于NLP和知识图谱）在处方开具瞬间进行实时合规性拦截，从源头上减少了不合理用药的风险。</w:t>
      </w:r>
    </w:p>
    <w:p>
      <w:pPr>
        <w:spacing w:line="240" w:lineRule="auto" w:before="240" w:after="120"/>
        <w:ind w:firstLine="520"/>
        <w:outlineLvl w:val="2"/>
      </w:pPr>
      <w:r>
        <w:rPr>
          <w:rFonts w:ascii="Times New Roman" w:hAnsi="Times New Roman" w:eastAsia="黑体"/>
          <w:b/>
          <w:sz w:val="26"/>
        </w:rPr>
        <w:t>三、线下检查与检验衔接流程</w:t>
      </w:r>
    </w:p>
    <w:p>
      <w:pPr>
        <w:spacing w:line="400" w:lineRule="exact" w:before="0" w:after="0"/>
        <w:ind w:firstLine="480"/>
        <w:jc w:val="both"/>
      </w:pPr>
      <w:r>
        <w:rPr>
          <w:rFonts w:ascii="Times New Roman" w:hAnsi="Times New Roman" w:eastAsia="宋体"/>
          <w:b w:val="0"/>
          <w:sz w:val="24"/>
        </w:rPr>
        <w:t>当医生在问诊过程中判断患者需要进行线下检查或检验时，可通过平台开具电子检验检查申请单。患者收到申请后，需在平台上选择检验检查时段并完成预约。预约成功后，患者按照预约时间前往所选院区的相应科室接受检查。检查完成后，检查结果由检验科或影像科医生出具报告，报告经审核后上传至平台，患者可在报告查询模块中查看。</w:t>
      </w:r>
    </w:p>
    <w:p>
      <w:pPr>
        <w:spacing w:line="400" w:lineRule="exact" w:before="0" w:after="0"/>
        <w:ind w:firstLine="480"/>
        <w:jc w:val="both"/>
      </w:pPr>
      <w:r>
        <w:rPr>
          <w:rFonts w:ascii="Times New Roman" w:hAnsi="Times New Roman" w:eastAsia="宋体"/>
          <w:b w:val="0"/>
          <w:sz w:val="24"/>
        </w:rPr>
        <w:t>该流程是线上线下衔接的关键环节，也是当前断点最明显的环节之一。具体问题留到第四节展开，此处先判定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pPr>
        <w:spacing w:line="240" w:lineRule="auto" w:before="240" w:after="120"/>
        <w:ind w:firstLine="520"/>
        <w:outlineLvl w:val="2"/>
      </w:pPr>
      <w:r>
        <w:rPr>
          <w:rFonts w:ascii="Times New Roman" w:hAnsi="Times New Roman" w:eastAsia="黑体"/>
          <w:b/>
          <w:sz w:val="26"/>
        </w:rPr>
        <w:t>四、药品配送与取药流程</w:t>
      </w:r>
    </w:p>
    <w:p>
      <w:pPr>
        <w:spacing w:line="400" w:lineRule="exact" w:before="0" w:after="0"/>
        <w:ind w:firstLine="480"/>
        <w:jc w:val="both"/>
      </w:pPr>
      <w:r>
        <w:rPr>
          <w:rFonts w:ascii="Times New Roman" w:hAnsi="Times New Roman" w:eastAsia="宋体"/>
          <w:b w:val="0"/>
          <w:sz w:val="24"/>
        </w:rPr>
        <w:t>选择线上药品配送的患者，在处方审核通过后，平台将处方信息推送至患者所选择的连锁药房的ERP系统。药房工作人员根据处方进行药品调配和复核，复核无误后打包交予合作的第三方物流公司进行配送。患者在平台上可实时查看药品的调配状态和物流信息。</w:t>
      </w:r>
    </w:p>
    <w:p>
      <w:pPr>
        <w:spacing w:line="400" w:lineRule="exact" w:before="0" w:after="0"/>
        <w:ind w:firstLine="480"/>
        <w:jc w:val="both"/>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选择到院自取的患者，可凭平台生成的取药码在指定时间前往医院药房窗口取药。选择就近药店自取的患者，系统将处方推送至患者指定的定点药房，患者凭取药码到店取药。</w:t>
      </w:r>
    </w:p>
    <w:p>
      <w:pPr>
        <w:spacing w:line="400" w:lineRule="exact" w:before="0" w:after="0"/>
        <w:ind w:firstLine="480"/>
        <w:jc w:val="both"/>
      </w:pPr>
      <w:r>
        <w:rPr>
          <w:rFonts w:ascii="Times New Roman" w:hAnsi="Times New Roman" w:eastAsia="宋体"/>
          <w:b w:val="0"/>
          <w:sz w:val="24"/>
        </w:rPr>
        <w:t>上述对核心业务流程的系统梳理已初步显现出很多流程效率的特征：问诊申请页面要多次点击才能到达，非排班时段问诊等待被拉长，线上问诊和线下检查取药之间缺一条系统化的信息衔接通道。这些直观观察不会只停留在印象层面，在第四节里，它们将与事件日志的定量诊断结果相互印证，我们将其归入系统性的问题识别。</w:t>
      </w:r>
    </w:p>
    <w:p>
      <w:pPr>
        <w:spacing w:line="240" w:lineRule="auto" w:before="480" w:after="120"/>
        <w:jc w:val="center"/>
        <w:outlineLvl w:val="1"/>
      </w:pPr>
      <w:r>
        <w:rPr>
          <w:rFonts w:ascii="Times New Roman" w:hAnsi="Times New Roman" w:eastAsia="黑体"/>
          <w:b/>
          <w:sz w:val="28"/>
        </w:rPr>
        <w:t>第四节　多院区运营与问题识别</w:t>
      </w:r>
    </w:p>
    <w:p>
      <w:pPr>
        <w:spacing w:line="240" w:lineRule="auto" w:before="240" w:after="120"/>
        <w:ind w:firstLine="520"/>
        <w:outlineLvl w:val="2"/>
      </w:pPr>
      <w:r>
        <w:rPr>
          <w:rFonts w:ascii="Times New Roman" w:hAnsi="Times New Roman" w:eastAsia="黑体"/>
          <w:b/>
          <w:sz w:val="26"/>
        </w:rPr>
        <w:t>一、各院区运营差异分析</w:t>
      </w:r>
    </w:p>
    <w:p>
      <w:pPr>
        <w:spacing w:line="240" w:lineRule="auto" w:before="240" w:after="120"/>
        <w:ind w:firstLine="480"/>
        <w:outlineLvl w:val="3"/>
      </w:pPr>
      <w:r>
        <w:rPr>
          <w:rFonts w:ascii="Times New Roman" w:hAnsi="Times New Roman" w:eastAsia="黑体"/>
          <w:b/>
          <w:sz w:val="24"/>
        </w:rPr>
        <w:t>（一）服务量差异</w:t>
      </w:r>
    </w:p>
    <w:p>
      <w:pPr>
        <w:spacing w:line="400" w:lineRule="exact" w:before="0" w:after="0"/>
        <w:ind w:firstLine="480"/>
        <w:jc w:val="both"/>
      </w:pPr>
      <w:r>
        <w:rPr>
          <w:rFonts w:ascii="Times New Roman" w:hAnsi="Times New Roman" w:eastAsia="宋体"/>
          <w:b w:val="0"/>
          <w:sz w:val="24"/>
        </w:rPr>
        <w:t>A医药集团旗下各医院在互联网医院平台上的服务量存在显著差异。如表3.4所示，医院A（标杆医院）的在线服务量占平台总服务量的约45%，医院B和医院C各占约20%，而医院D和医院E的在线服务量合计约15%。</w:t>
      </w:r>
    </w:p>
    <w:p>
      <w:pPr>
        <w:spacing w:line="240" w:lineRule="auto" w:before="120" w:after="120"/>
        <w:jc w:val="center"/>
      </w:pPr>
      <w:r>
        <w:rPr>
          <w:rFonts w:ascii="Times New Roman" w:hAnsi="Times New Roman" w:eastAsia="宋体"/>
          <w:b w:val="0"/>
          <w:sz w:val="21"/>
        </w:rPr>
        <w:t>表3.4　各院区平台服务量分布（2025年度）</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指标</w:t>
            </w:r>
          </w:p>
        </w:tc>
        <w:tc>
          <w:tcPr>
            <w:tcW w:type="dxa" w:w="1435"/>
            <w:tcBorders>
              <w:bottom w:val="single" w:sz="12" w:space="0" w:color="000000"/>
            </w:tcBorders>
          </w:tcPr>
          <w:p>
            <w:pPr>
              <w:jc w:val="center"/>
            </w:pPr>
            <w:r/>
            <w:r>
              <w:rPr>
                <w:rFonts w:ascii="Times New Roman" w:hAnsi="Times New Roman" w:eastAsia="宋体"/>
                <w:b/>
                <w:sz w:val="20"/>
              </w:rPr>
              <w:t>医院A</w:t>
            </w:r>
          </w:p>
        </w:tc>
        <w:tc>
          <w:tcPr>
            <w:tcW w:type="dxa" w:w="1435"/>
            <w:tcBorders>
              <w:bottom w:val="single" w:sz="12" w:space="0" w:color="000000"/>
            </w:tcBorders>
          </w:tcPr>
          <w:p>
            <w:pPr>
              <w:jc w:val="center"/>
            </w:pPr>
            <w:r/>
            <w:r>
              <w:rPr>
                <w:rFonts w:ascii="Times New Roman" w:hAnsi="Times New Roman" w:eastAsia="宋体"/>
                <w:b/>
                <w:sz w:val="20"/>
              </w:rPr>
              <w:t>医院B</w:t>
            </w:r>
          </w:p>
        </w:tc>
        <w:tc>
          <w:tcPr>
            <w:tcW w:type="dxa" w:w="1435"/>
            <w:tcBorders>
              <w:bottom w:val="single" w:sz="12" w:space="0" w:color="000000"/>
            </w:tcBorders>
          </w:tcPr>
          <w:p>
            <w:pPr>
              <w:jc w:val="center"/>
            </w:pPr>
            <w:r/>
            <w:r>
              <w:rPr>
                <w:rFonts w:ascii="Times New Roman" w:hAnsi="Times New Roman" w:eastAsia="宋体"/>
                <w:b/>
                <w:sz w:val="20"/>
              </w:rPr>
              <w:t>医院C</w:t>
            </w:r>
          </w:p>
        </w:tc>
        <w:tc>
          <w:tcPr>
            <w:tcW w:type="dxa" w:w="1435"/>
            <w:tcBorders>
              <w:bottom w:val="single" w:sz="12" w:space="0" w:color="000000"/>
            </w:tcBorders>
          </w:tcPr>
          <w:p>
            <w:pPr>
              <w:jc w:val="center"/>
            </w:pPr>
            <w:r/>
            <w:r>
              <w:rPr>
                <w:rFonts w:ascii="Times New Roman" w:hAnsi="Times New Roman" w:eastAsia="宋体"/>
                <w:b/>
                <w:sz w:val="20"/>
              </w:rPr>
              <w:t>医院D</w:t>
            </w:r>
          </w:p>
        </w:tc>
        <w:tc>
          <w:tcPr>
            <w:tcW w:type="dxa" w:w="1435"/>
            <w:tcBorders>
              <w:bottom w:val="single" w:sz="12" w:space="0" w:color="000000"/>
            </w:tcBorders>
          </w:tcPr>
          <w:p>
            <w:pPr>
              <w:jc w:val="center"/>
            </w:pPr>
            <w:r/>
            <w:r>
              <w:rPr>
                <w:rFonts w:ascii="Times New Roman" w:hAnsi="Times New Roman" w:eastAsia="宋体"/>
                <w:b/>
                <w:sz w:val="20"/>
              </w:rPr>
              <w:t>医院E</w:t>
            </w:r>
          </w:p>
        </w:tc>
      </w:tr>
      <w:tr>
        <w:tc>
          <w:tcPr>
            <w:tcW w:type="dxa" w:w="1435"/>
          </w:tcPr>
          <w:p>
            <w:r/>
            <w:r>
              <w:rPr>
                <w:rFonts w:ascii="Times New Roman" w:hAnsi="Times New Roman" w:eastAsia="宋体"/>
                <w:sz w:val="20"/>
              </w:rPr>
              <w:t>在线问诊量占比</w:t>
            </w:r>
          </w:p>
        </w:tc>
        <w:tc>
          <w:tcPr>
            <w:tcW w:type="dxa" w:w="1435"/>
          </w:tcPr>
          <w:p>
            <w:r/>
            <w:r>
              <w:rPr>
                <w:rFonts w:ascii="Times New Roman" w:hAnsi="Times New Roman" w:eastAsia="宋体"/>
                <w:sz w:val="20"/>
              </w:rPr>
              <w:t>45.2%</w:t>
            </w:r>
          </w:p>
        </w:tc>
        <w:tc>
          <w:tcPr>
            <w:tcW w:type="dxa" w:w="1435"/>
          </w:tcPr>
          <w:p>
            <w:r/>
            <w:r>
              <w:rPr>
                <w:rFonts w:ascii="Times New Roman" w:hAnsi="Times New Roman" w:eastAsia="宋体"/>
                <w:sz w:val="20"/>
              </w:rPr>
              <w:t>21.3%</w:t>
            </w:r>
          </w:p>
        </w:tc>
        <w:tc>
          <w:tcPr>
            <w:tcW w:type="dxa" w:w="1435"/>
          </w:tcPr>
          <w:p>
            <w:r/>
            <w:r>
              <w:rPr>
                <w:rFonts w:ascii="Times New Roman" w:hAnsi="Times New Roman" w:eastAsia="宋体"/>
                <w:sz w:val="20"/>
              </w:rPr>
              <w:t>18.5%</w:t>
            </w:r>
          </w:p>
        </w:tc>
        <w:tc>
          <w:tcPr>
            <w:tcW w:type="dxa" w:w="1435"/>
          </w:tcPr>
          <w:p>
            <w:r/>
            <w:r>
              <w:rPr>
                <w:rFonts w:ascii="Times New Roman" w:hAnsi="Times New Roman" w:eastAsia="宋体"/>
                <w:sz w:val="20"/>
              </w:rPr>
              <w:t>9.2%</w:t>
            </w:r>
          </w:p>
        </w:tc>
        <w:tc>
          <w:tcPr>
            <w:tcW w:type="dxa" w:w="1435"/>
          </w:tcPr>
          <w:p>
            <w:r/>
            <w:r>
              <w:rPr>
                <w:rFonts w:ascii="Times New Roman" w:hAnsi="Times New Roman" w:eastAsia="宋体"/>
                <w:sz w:val="20"/>
              </w:rPr>
              <w:t>5.8%</w:t>
            </w:r>
          </w:p>
        </w:tc>
      </w:tr>
      <w:tr>
        <w:tc>
          <w:tcPr>
            <w:tcW w:type="dxa" w:w="1435"/>
          </w:tcPr>
          <w:p>
            <w:r/>
            <w:r>
              <w:rPr>
                <w:rFonts w:ascii="Times New Roman" w:hAnsi="Times New Roman" w:eastAsia="宋体"/>
                <w:sz w:val="20"/>
              </w:rPr>
              <w:t>处方流转量占比</w:t>
            </w:r>
          </w:p>
        </w:tc>
        <w:tc>
          <w:tcPr>
            <w:tcW w:type="dxa" w:w="1435"/>
          </w:tcPr>
          <w:p>
            <w:r/>
            <w:r>
              <w:rPr>
                <w:rFonts w:ascii="Times New Roman" w:hAnsi="Times New Roman" w:eastAsia="宋体"/>
                <w:sz w:val="20"/>
              </w:rPr>
              <w:t>48.1%</w:t>
            </w:r>
          </w:p>
        </w:tc>
        <w:tc>
          <w:tcPr>
            <w:tcW w:type="dxa" w:w="1435"/>
          </w:tcPr>
          <w:p>
            <w:r/>
            <w:r>
              <w:rPr>
                <w:rFonts w:ascii="Times New Roman" w:hAnsi="Times New Roman" w:eastAsia="宋体"/>
                <w:sz w:val="20"/>
              </w:rPr>
              <w:t>19.8%</w:t>
            </w:r>
          </w:p>
        </w:tc>
        <w:tc>
          <w:tcPr>
            <w:tcW w:type="dxa" w:w="1435"/>
          </w:tcPr>
          <w:p>
            <w:r/>
            <w:r>
              <w:rPr>
                <w:rFonts w:ascii="Times New Roman" w:hAnsi="Times New Roman" w:eastAsia="宋体"/>
                <w:sz w:val="20"/>
              </w:rPr>
              <w:t>16.2%</w:t>
            </w:r>
          </w:p>
        </w:tc>
        <w:tc>
          <w:tcPr>
            <w:tcW w:type="dxa" w:w="1435"/>
          </w:tcPr>
          <w:p>
            <w:r/>
            <w:r>
              <w:rPr>
                <w:rFonts w:ascii="Times New Roman" w:hAnsi="Times New Roman" w:eastAsia="宋体"/>
                <w:sz w:val="20"/>
              </w:rPr>
              <w:t>8.5%</w:t>
            </w:r>
          </w:p>
        </w:tc>
        <w:tc>
          <w:tcPr>
            <w:tcW w:type="dxa" w:w="1435"/>
          </w:tcPr>
          <w:p>
            <w:r/>
            <w:r>
              <w:rPr>
                <w:rFonts w:ascii="Times New Roman" w:hAnsi="Times New Roman" w:eastAsia="宋体"/>
                <w:sz w:val="20"/>
              </w:rPr>
              <w:t>7.4%</w:t>
            </w:r>
          </w:p>
        </w:tc>
      </w:tr>
      <w:tr>
        <w:tc>
          <w:tcPr>
            <w:tcW w:type="dxa" w:w="1435"/>
          </w:tcPr>
          <w:p>
            <w:r/>
            <w:r>
              <w:rPr>
                <w:rFonts w:ascii="Times New Roman" w:hAnsi="Times New Roman" w:eastAsia="宋体"/>
                <w:sz w:val="20"/>
              </w:rPr>
              <w:t>检查预约量占比</w:t>
            </w:r>
          </w:p>
        </w:tc>
        <w:tc>
          <w:tcPr>
            <w:tcW w:type="dxa" w:w="1435"/>
          </w:tcPr>
          <w:p>
            <w:r/>
            <w:r>
              <w:rPr>
                <w:rFonts w:ascii="Times New Roman" w:hAnsi="Times New Roman" w:eastAsia="宋体"/>
                <w:sz w:val="20"/>
              </w:rPr>
              <w:t>42.5%</w:t>
            </w:r>
          </w:p>
        </w:tc>
        <w:tc>
          <w:tcPr>
            <w:tcW w:type="dxa" w:w="1435"/>
          </w:tcPr>
          <w:p>
            <w:r/>
            <w:r>
              <w:rPr>
                <w:rFonts w:ascii="Times New Roman" w:hAnsi="Times New Roman" w:eastAsia="宋体"/>
                <w:sz w:val="20"/>
              </w:rPr>
              <w:t>23.1%</w:t>
            </w:r>
          </w:p>
        </w:tc>
        <w:tc>
          <w:tcPr>
            <w:tcW w:type="dxa" w:w="1435"/>
          </w:tcPr>
          <w:p>
            <w:r/>
            <w:r>
              <w:rPr>
                <w:rFonts w:ascii="Times New Roman" w:hAnsi="Times New Roman" w:eastAsia="宋体"/>
                <w:sz w:val="20"/>
              </w:rPr>
              <w:t>20.3%</w:t>
            </w:r>
          </w:p>
        </w:tc>
        <w:tc>
          <w:tcPr>
            <w:tcW w:type="dxa" w:w="1435"/>
          </w:tcPr>
          <w:p>
            <w:r/>
            <w:r>
              <w:rPr>
                <w:rFonts w:ascii="Times New Roman" w:hAnsi="Times New Roman" w:eastAsia="宋体"/>
                <w:sz w:val="20"/>
              </w:rPr>
              <w:t>8.9%</w:t>
            </w:r>
          </w:p>
        </w:tc>
        <w:tc>
          <w:tcPr>
            <w:tcW w:type="dxa" w:w="1435"/>
          </w:tcPr>
          <w:p>
            <w:r/>
            <w:r>
              <w:rPr>
                <w:rFonts w:ascii="Times New Roman" w:hAnsi="Times New Roman" w:eastAsia="宋体"/>
                <w:sz w:val="20"/>
              </w:rPr>
              <w:t>5.2%</w:t>
            </w:r>
          </w:p>
        </w:tc>
      </w:tr>
      <w:tr>
        <w:tc>
          <w:tcPr>
            <w:tcW w:type="dxa" w:w="1435"/>
          </w:tcPr>
          <w:p>
            <w:r/>
            <w:r>
              <w:rPr>
                <w:rFonts w:ascii="Times New Roman" w:hAnsi="Times New Roman" w:eastAsia="宋体"/>
                <w:sz w:val="20"/>
              </w:rPr>
              <w:t>注册用户数占比</w:t>
            </w:r>
          </w:p>
        </w:tc>
        <w:tc>
          <w:tcPr>
            <w:tcW w:type="dxa" w:w="1435"/>
          </w:tcPr>
          <w:p>
            <w:r/>
            <w:r>
              <w:rPr>
                <w:rFonts w:ascii="Times New Roman" w:hAnsi="Times New Roman" w:eastAsia="宋体"/>
                <w:sz w:val="20"/>
              </w:rPr>
              <w:t>40.3%</w:t>
            </w:r>
          </w:p>
        </w:tc>
        <w:tc>
          <w:tcPr>
            <w:tcW w:type="dxa" w:w="1435"/>
          </w:tcPr>
          <w:p>
            <w:r/>
            <w:r>
              <w:rPr>
                <w:rFonts w:ascii="Times New Roman" w:hAnsi="Times New Roman" w:eastAsia="宋体"/>
                <w:sz w:val="20"/>
              </w:rPr>
              <w:t>24.6%</w:t>
            </w:r>
          </w:p>
        </w:tc>
        <w:tc>
          <w:tcPr>
            <w:tcW w:type="dxa" w:w="1435"/>
          </w:tcPr>
          <w:p>
            <w:r/>
            <w:r>
              <w:rPr>
                <w:rFonts w:ascii="Times New Roman" w:hAnsi="Times New Roman" w:eastAsia="宋体"/>
                <w:sz w:val="20"/>
              </w:rPr>
              <w:t>19.8%</w:t>
            </w:r>
          </w:p>
        </w:tc>
        <w:tc>
          <w:tcPr>
            <w:tcW w:type="dxa" w:w="1435"/>
          </w:tcPr>
          <w:p>
            <w:r/>
            <w:r>
              <w:rPr>
                <w:rFonts w:ascii="Times New Roman" w:hAnsi="Times New Roman" w:eastAsia="宋体"/>
                <w:sz w:val="20"/>
              </w:rPr>
              <w:t>9.1%</w:t>
            </w:r>
          </w:p>
        </w:tc>
        <w:tc>
          <w:tcPr>
            <w:tcW w:type="dxa" w:w="1435"/>
          </w:tcPr>
          <w:p>
            <w:r/>
            <w:r>
              <w:rPr>
                <w:rFonts w:ascii="Times New Roman" w:hAnsi="Times New Roman" w:eastAsia="宋体"/>
                <w:sz w:val="20"/>
              </w:rPr>
              <w:t>6.2%</w:t>
            </w:r>
          </w:p>
        </w:tc>
      </w:tr>
      <w:tr>
        <w:tc>
          <w:tcPr>
            <w:tcW w:type="dxa" w:w="1435"/>
          </w:tcPr>
          <w:p>
            <w:r/>
            <w:r>
              <w:rPr>
                <w:rFonts w:ascii="Times New Roman" w:hAnsi="Times New Roman" w:eastAsia="宋体"/>
                <w:sz w:val="20"/>
              </w:rPr>
              <w:t>月活跃用户数</w:t>
            </w:r>
          </w:p>
        </w:tc>
        <w:tc>
          <w:tcPr>
            <w:tcW w:type="dxa" w:w="1435"/>
          </w:tcPr>
          <w:p>
            <w:r/>
            <w:r>
              <w:rPr>
                <w:rFonts w:ascii="Times New Roman" w:hAnsi="Times New Roman" w:eastAsia="宋体"/>
                <w:sz w:val="20"/>
              </w:rPr>
              <w:t>~13,500</w:t>
            </w:r>
          </w:p>
        </w:tc>
        <w:tc>
          <w:tcPr>
            <w:tcW w:type="dxa" w:w="1435"/>
          </w:tcPr>
          <w:p>
            <w:r/>
            <w:r>
              <w:rPr>
                <w:rFonts w:ascii="Times New Roman" w:hAnsi="Times New Roman" w:eastAsia="宋体"/>
                <w:sz w:val="20"/>
              </w:rPr>
              <w:t>~6,400</w:t>
            </w:r>
          </w:p>
        </w:tc>
        <w:tc>
          <w:tcPr>
            <w:tcW w:type="dxa" w:w="1435"/>
          </w:tcPr>
          <w:p>
            <w:r/>
            <w:r>
              <w:rPr>
                <w:rFonts w:ascii="Times New Roman" w:hAnsi="Times New Roman" w:eastAsia="宋体"/>
                <w:sz w:val="20"/>
              </w:rPr>
              <w:t>~5,500</w:t>
            </w:r>
          </w:p>
        </w:tc>
        <w:tc>
          <w:tcPr>
            <w:tcW w:type="dxa" w:w="1435"/>
          </w:tcPr>
          <w:p>
            <w:r/>
            <w:r>
              <w:rPr>
                <w:rFonts w:ascii="Times New Roman" w:hAnsi="Times New Roman" w:eastAsia="宋体"/>
                <w:sz w:val="20"/>
              </w:rPr>
              <w:t>~2,700</w:t>
            </w:r>
          </w:p>
        </w:tc>
        <w:tc>
          <w:tcPr>
            <w:tcW w:type="dxa" w:w="1435"/>
          </w:tcPr>
          <w:p>
            <w:r/>
            <w:r>
              <w:rPr>
                <w:rFonts w:ascii="Times New Roman" w:hAnsi="Times New Roman" w:eastAsia="宋体"/>
                <w:sz w:val="20"/>
              </w:rPr>
              <w:t>~1,700</w:t>
            </w:r>
          </w:p>
        </w:tc>
      </w:tr>
    </w:tbl>
    <w:p/>
    <w:p>
      <w:pPr>
        <w:spacing w:line="400" w:lineRule="exact" w:before="0" w:after="0"/>
        <w:ind w:firstLine="480"/>
        <w:jc w:val="both"/>
      </w:pPr>
      <w:r>
        <w:rPr>
          <w:rFonts w:ascii="Times New Roman" w:hAnsi="Times New Roman" w:eastAsia="宋体"/>
          <w:b w:val="0"/>
          <w:sz w:val="24"/>
        </w:rPr>
        <w:t>这种差异部分反映了各医院自身的体量和知名度差异，医院A的床位数和年门急诊量在集团内遥遥领先，其线上服务量自然较高。但也在一定程度上说明了平台在推广和覆盖方面的不均衡。作为医院B的分院区，医院D和医院E虽然体量较小，但分别在心血管和呼吸内科、口腔及老年护理方面各有特色，理论上具备吸引线上患者的潜力。当前其在线服务量占比约15%，部分原因在于两家医院于2024年才接入平台，窗口期较短，线上服务量仍在爬坡。此外，医院D和医院E的信息科人员配置较少（各仅2-3名），在平台对接和日常运维方面的投入能力有限。</w:t>
      </w:r>
    </w:p>
    <w:p>
      <w:pPr>
        <w:spacing w:line="240" w:lineRule="auto" w:before="240" w:after="120"/>
        <w:ind w:firstLine="480"/>
        <w:outlineLvl w:val="3"/>
      </w:pPr>
      <w:r>
        <w:rPr>
          <w:rFonts w:ascii="Times New Roman" w:hAnsi="Times New Roman" w:eastAsia="黑体"/>
          <w:b/>
          <w:sz w:val="24"/>
        </w:rPr>
        <w:t>（二）科室设置差异</w:t>
      </w:r>
    </w:p>
    <w:p>
      <w:pPr>
        <w:spacing w:line="400" w:lineRule="exact" w:before="0" w:after="0"/>
        <w:ind w:firstLine="480"/>
        <w:jc w:val="both"/>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pPr>
        <w:spacing w:line="240" w:lineRule="auto" w:before="240" w:after="120"/>
        <w:ind w:firstLine="480"/>
        <w:outlineLvl w:val="3"/>
      </w:pPr>
      <w:r>
        <w:rPr>
          <w:rFonts w:ascii="Times New Roman" w:hAnsi="Times New Roman" w:eastAsia="黑体"/>
          <w:b/>
          <w:sz w:val="24"/>
        </w:rPr>
        <w:t>（三）信息系统异构情况</w:t>
      </w:r>
    </w:p>
    <w:p>
      <w:pPr>
        <w:spacing w:line="400" w:lineRule="exact" w:before="0" w:after="0"/>
        <w:ind w:firstLine="480"/>
        <w:jc w:val="both"/>
      </w:pPr>
      <w:r>
        <w:rPr>
          <w:rFonts w:ascii="Times New Roman" w:hAnsi="Times New Roman" w:eastAsia="宋体"/>
          <w:b w:val="0"/>
          <w:sz w:val="24"/>
        </w:rPr>
        <w:t>各医院在被A医药集团整合之前，已分别建设了各自的院内信息系统。医院A使用的是A厂商的HIS系统（版本V5.2，2020年升级）；医院B使用的是B厂商的系统（版本V3.8，2019年部署）；医院D和医院E使用的是B厂商的较早版本系统（分别为V3.5和V3.4）；医院C使用的是C厂商的系统（版本V4.5），各厂商的数据模型和接口标准存在着显著的差异。表3.5汇总了各院区信息系统的异构现状。</w:t>
      </w:r>
    </w:p>
    <w:p>
      <w:pPr>
        <w:jc w:val="center"/>
      </w:pPr>
      <w:r>
        <w:drawing>
          <wp:inline xmlns:a="http://schemas.openxmlformats.org/drawingml/2006/main" xmlns:pic="http://schemas.openxmlformats.org/drawingml/2006/picture">
            <wp:extent cx="5040000" cy="3974099"/>
            <wp:docPr id="10" name="Picture 10"/>
            <wp:cNvGraphicFramePr>
              <a:graphicFrameLocks noChangeAspect="1"/>
            </wp:cNvGraphicFramePr>
            <a:graphic>
              <a:graphicData uri="http://schemas.openxmlformats.org/drawingml/2006/picture">
                <pic:pic>
                  <pic:nvPicPr>
                    <pic:cNvPr id="0" name="图3.5-信息系统异构现状.png"/>
                    <pic:cNvPicPr/>
                  </pic:nvPicPr>
                  <pic:blipFill>
                    <a:blip r:embed="rId20"/>
                    <a:stretch>
                      <a:fillRect/>
                    </a:stretch>
                  </pic:blipFill>
                  <pic:spPr>
                    <a:xfrm>
                      <a:off x="0" y="0"/>
                      <a:ext cx="5040000" cy="3974099"/>
                    </a:xfrm>
                    <a:prstGeom prst="rect"/>
                  </pic:spPr>
                </pic:pic>
              </a:graphicData>
            </a:graphic>
          </wp:inline>
        </w:drawing>
      </w:r>
    </w:p>
    <w:p>
      <w:pPr>
        <w:spacing w:line="240" w:lineRule="auto" w:before="120" w:after="240"/>
        <w:jc w:val="center"/>
      </w:pPr>
      <w:r>
        <w:rPr>
          <w:rFonts w:ascii="Times New Roman" w:hAnsi="Times New Roman" w:eastAsia="宋体"/>
          <w:b w:val="0"/>
          <w:sz w:val="21"/>
        </w:rPr>
        <w:t>图3.5　各院区信息系统异构现状</w:t>
      </w:r>
    </w:p>
    <w:p>
      <w:pPr>
        <w:spacing w:line="240" w:lineRule="auto" w:before="120" w:after="120"/>
        <w:jc w:val="center"/>
      </w:pPr>
      <w:r>
        <w:rPr>
          <w:rFonts w:ascii="Times New Roman" w:hAnsi="Times New Roman" w:eastAsia="宋体"/>
          <w:b w:val="0"/>
          <w:sz w:val="21"/>
        </w:rPr>
        <w:t>表3.5　各院区信息系统异构现状</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系统类型</w:t>
            </w:r>
          </w:p>
        </w:tc>
        <w:tc>
          <w:tcPr>
            <w:tcW w:type="dxa" w:w="1435"/>
            <w:tcBorders>
              <w:bottom w:val="single" w:sz="12" w:space="0" w:color="000000"/>
            </w:tcBorders>
          </w:tcPr>
          <w:p>
            <w:pPr>
              <w:jc w:val="center"/>
            </w:pPr>
            <w:r/>
            <w:r>
              <w:rPr>
                <w:rFonts w:ascii="Times New Roman" w:hAnsi="Times New Roman" w:eastAsia="宋体"/>
                <w:b/>
                <w:sz w:val="20"/>
              </w:rPr>
              <w:t>医院A</w:t>
            </w:r>
          </w:p>
        </w:tc>
        <w:tc>
          <w:tcPr>
            <w:tcW w:type="dxa" w:w="1435"/>
            <w:tcBorders>
              <w:bottom w:val="single" w:sz="12" w:space="0" w:color="000000"/>
            </w:tcBorders>
          </w:tcPr>
          <w:p>
            <w:pPr>
              <w:jc w:val="center"/>
            </w:pPr>
            <w:r/>
            <w:r>
              <w:rPr>
                <w:rFonts w:ascii="Times New Roman" w:hAnsi="Times New Roman" w:eastAsia="宋体"/>
                <w:b/>
                <w:sz w:val="20"/>
              </w:rPr>
              <w:t>医院B</w:t>
            </w:r>
          </w:p>
        </w:tc>
        <w:tc>
          <w:tcPr>
            <w:tcW w:type="dxa" w:w="1435"/>
            <w:tcBorders>
              <w:bottom w:val="single" w:sz="12" w:space="0" w:color="000000"/>
            </w:tcBorders>
          </w:tcPr>
          <w:p>
            <w:pPr>
              <w:jc w:val="center"/>
            </w:pPr>
            <w:r/>
            <w:r>
              <w:rPr>
                <w:rFonts w:ascii="Times New Roman" w:hAnsi="Times New Roman" w:eastAsia="宋体"/>
                <w:b/>
                <w:sz w:val="20"/>
              </w:rPr>
              <w:t>医院C</w:t>
            </w:r>
          </w:p>
        </w:tc>
        <w:tc>
          <w:tcPr>
            <w:tcW w:type="dxa" w:w="1435"/>
            <w:tcBorders>
              <w:bottom w:val="single" w:sz="12" w:space="0" w:color="000000"/>
            </w:tcBorders>
          </w:tcPr>
          <w:p>
            <w:pPr>
              <w:jc w:val="center"/>
            </w:pPr>
            <w:r/>
            <w:r>
              <w:rPr>
                <w:rFonts w:ascii="Times New Roman" w:hAnsi="Times New Roman" w:eastAsia="宋体"/>
                <w:b/>
                <w:sz w:val="20"/>
              </w:rPr>
              <w:t>医院D</w:t>
            </w:r>
          </w:p>
        </w:tc>
        <w:tc>
          <w:tcPr>
            <w:tcW w:type="dxa" w:w="1435"/>
            <w:tcBorders>
              <w:bottom w:val="single" w:sz="12" w:space="0" w:color="000000"/>
            </w:tcBorders>
          </w:tcPr>
          <w:p>
            <w:pPr>
              <w:jc w:val="center"/>
            </w:pPr>
            <w:r/>
            <w:r>
              <w:rPr>
                <w:rFonts w:ascii="Times New Roman" w:hAnsi="Times New Roman" w:eastAsia="宋体"/>
                <w:b/>
                <w:sz w:val="20"/>
              </w:rPr>
              <w:t>医院E</w:t>
            </w:r>
          </w:p>
        </w:tc>
      </w:tr>
      <w:tr>
        <w:tc>
          <w:tcPr>
            <w:tcW w:type="dxa" w:w="1435"/>
          </w:tcPr>
          <w:p>
            <w:r/>
            <w:r>
              <w:rPr>
                <w:rFonts w:ascii="Times New Roman" w:hAnsi="Times New Roman" w:eastAsia="宋体"/>
                <w:sz w:val="20"/>
              </w:rPr>
              <w:t>HIS</w:t>
            </w:r>
          </w:p>
        </w:tc>
        <w:tc>
          <w:tcPr>
            <w:tcW w:type="dxa" w:w="1435"/>
          </w:tcPr>
          <w:p>
            <w:r/>
            <w:r>
              <w:rPr>
                <w:rFonts w:ascii="Times New Roman" w:hAnsi="Times New Roman" w:eastAsia="宋体"/>
                <w:sz w:val="20"/>
              </w:rPr>
              <w:t>V5.2（A厂商）</w:t>
            </w:r>
          </w:p>
        </w:tc>
        <w:tc>
          <w:tcPr>
            <w:tcW w:type="dxa" w:w="1435"/>
          </w:tcPr>
          <w:p>
            <w:r/>
            <w:r>
              <w:rPr>
                <w:rFonts w:ascii="Times New Roman" w:hAnsi="Times New Roman" w:eastAsia="宋体"/>
                <w:sz w:val="20"/>
              </w:rPr>
              <w:t>V3.8（B厂商）</w:t>
            </w:r>
          </w:p>
        </w:tc>
        <w:tc>
          <w:tcPr>
            <w:tcW w:type="dxa" w:w="1435"/>
          </w:tcPr>
          <w:p>
            <w:r/>
            <w:r>
              <w:rPr>
                <w:rFonts w:ascii="Times New Roman" w:hAnsi="Times New Roman" w:eastAsia="宋体"/>
                <w:sz w:val="20"/>
              </w:rPr>
              <w:t>V4.5（C厂商）</w:t>
            </w:r>
          </w:p>
        </w:tc>
        <w:tc>
          <w:tcPr>
            <w:tcW w:type="dxa" w:w="1435"/>
          </w:tcPr>
          <w:p>
            <w:r/>
            <w:r>
              <w:rPr>
                <w:rFonts w:ascii="Times New Roman" w:hAnsi="Times New Roman" w:eastAsia="宋体"/>
                <w:sz w:val="20"/>
              </w:rPr>
              <w:t>V3.5（B厂商）</w:t>
            </w:r>
          </w:p>
        </w:tc>
        <w:tc>
          <w:tcPr>
            <w:tcW w:type="dxa" w:w="1435"/>
          </w:tcPr>
          <w:p>
            <w:r/>
            <w:r>
              <w:rPr>
                <w:rFonts w:ascii="Times New Roman" w:hAnsi="Times New Roman" w:eastAsia="宋体"/>
                <w:sz w:val="20"/>
              </w:rPr>
              <w:t>V3.4（B厂商）</w:t>
            </w:r>
          </w:p>
        </w:tc>
      </w:tr>
      <w:tr>
        <w:tc>
          <w:tcPr>
            <w:tcW w:type="dxa" w:w="1435"/>
          </w:tcPr>
          <w:p>
            <w:r/>
            <w:r>
              <w:rPr>
                <w:rFonts w:ascii="Times New Roman" w:hAnsi="Times New Roman" w:eastAsia="宋体"/>
                <w:sz w:val="20"/>
              </w:rPr>
              <w:t>LIS</w:t>
            </w:r>
          </w:p>
        </w:tc>
        <w:tc>
          <w:tcPr>
            <w:tcW w:type="dxa" w:w="1435"/>
          </w:tcPr>
          <w:p>
            <w:r/>
            <w:r>
              <w:rPr>
                <w:rFonts w:ascii="Times New Roman" w:hAnsi="Times New Roman" w:eastAsia="宋体"/>
                <w:sz w:val="20"/>
              </w:rPr>
              <w:t>V3.0（D厂商）</w:t>
            </w:r>
          </w:p>
        </w:tc>
        <w:tc>
          <w:tcPr>
            <w:tcW w:type="dxa" w:w="1435"/>
          </w:tcPr>
          <w:p>
            <w:r/>
            <w:r>
              <w:rPr>
                <w:rFonts w:ascii="Times New Roman" w:hAnsi="Times New Roman" w:eastAsia="宋体"/>
                <w:sz w:val="20"/>
              </w:rPr>
              <w:t>V2.5（D厂商）</w:t>
            </w:r>
          </w:p>
        </w:tc>
        <w:tc>
          <w:tcPr>
            <w:tcW w:type="dxa" w:w="1435"/>
          </w:tcPr>
          <w:p>
            <w:r/>
            <w:r>
              <w:rPr>
                <w:rFonts w:ascii="Times New Roman" w:hAnsi="Times New Roman" w:eastAsia="宋体"/>
                <w:sz w:val="20"/>
              </w:rPr>
              <w:t>V2.0（E厂商）</w:t>
            </w:r>
          </w:p>
        </w:tc>
        <w:tc>
          <w:tcPr>
            <w:tcW w:type="dxa" w:w="1435"/>
          </w:tcPr>
          <w:p>
            <w:r/>
            <w:r>
              <w:rPr>
                <w:rFonts w:ascii="Times New Roman" w:hAnsi="Times New Roman" w:eastAsia="宋体"/>
                <w:sz w:val="20"/>
              </w:rPr>
              <w:t>V2.5（D厂商）</w:t>
            </w:r>
          </w:p>
        </w:tc>
        <w:tc>
          <w:tcPr>
            <w:tcW w:type="dxa" w:w="1435"/>
          </w:tcPr>
          <w:p>
            <w:r/>
            <w:r>
              <w:rPr>
                <w:rFonts w:ascii="Times New Roman" w:hAnsi="Times New Roman" w:eastAsia="宋体"/>
                <w:sz w:val="20"/>
              </w:rPr>
              <w:t>V2.5（D厂商）</w:t>
            </w:r>
          </w:p>
        </w:tc>
      </w:tr>
      <w:tr>
        <w:tc>
          <w:tcPr>
            <w:tcW w:type="dxa" w:w="1435"/>
          </w:tcPr>
          <w:p>
            <w:r/>
            <w:r>
              <w:rPr>
                <w:rFonts w:ascii="Times New Roman" w:hAnsi="Times New Roman" w:eastAsia="宋体"/>
                <w:sz w:val="20"/>
              </w:rPr>
              <w:t>PACS</w:t>
            </w:r>
          </w:p>
        </w:tc>
        <w:tc>
          <w:tcPr>
            <w:tcW w:type="dxa" w:w="1435"/>
          </w:tcPr>
          <w:p>
            <w:r/>
            <w:r>
              <w:rPr>
                <w:rFonts w:ascii="Times New Roman" w:hAnsi="Times New Roman" w:eastAsia="宋体"/>
                <w:sz w:val="20"/>
              </w:rPr>
              <w:t>V4.1（E厂商）</w:t>
            </w:r>
          </w:p>
        </w:tc>
        <w:tc>
          <w:tcPr>
            <w:tcW w:type="dxa" w:w="1435"/>
          </w:tcPr>
          <w:p>
            <w:r/>
            <w:r>
              <w:rPr>
                <w:rFonts w:ascii="Times New Roman" w:hAnsi="Times New Roman" w:eastAsia="宋体"/>
                <w:sz w:val="20"/>
              </w:rPr>
              <w:t>V3.6（F厂商）</w:t>
            </w:r>
          </w:p>
        </w:tc>
        <w:tc>
          <w:tcPr>
            <w:tcW w:type="dxa" w:w="1435"/>
          </w:tcPr>
          <w:p>
            <w:r/>
            <w:r>
              <w:rPr>
                <w:rFonts w:ascii="Times New Roman" w:hAnsi="Times New Roman" w:eastAsia="宋体"/>
                <w:sz w:val="20"/>
              </w:rPr>
              <w:t>V4.0（E厂商）</w:t>
            </w:r>
          </w:p>
        </w:tc>
        <w:tc>
          <w:tcPr>
            <w:tcW w:type="dxa" w:w="1435"/>
          </w:tcPr>
          <w:p>
            <w:r/>
            <w:r>
              <w:rPr>
                <w:rFonts w:ascii="Times New Roman" w:hAnsi="Times New Roman" w:eastAsia="宋体"/>
                <w:sz w:val="20"/>
              </w:rPr>
              <w:t>V3.6（F厂商）</w:t>
            </w:r>
          </w:p>
        </w:tc>
        <w:tc>
          <w:tcPr>
            <w:tcW w:type="dxa" w:w="1435"/>
          </w:tcPr>
          <w:p>
            <w:r/>
            <w:r>
              <w:rPr>
                <w:rFonts w:ascii="Times New Roman" w:hAnsi="Times New Roman" w:eastAsia="宋体"/>
                <w:sz w:val="20"/>
              </w:rPr>
              <w:t>—</w:t>
            </w:r>
          </w:p>
        </w:tc>
      </w:tr>
      <w:tr>
        <w:tc>
          <w:tcPr>
            <w:tcW w:type="dxa" w:w="1435"/>
          </w:tcPr>
          <w:p>
            <w:r/>
            <w:r>
              <w:rPr>
                <w:rFonts w:ascii="Times New Roman" w:hAnsi="Times New Roman" w:eastAsia="宋体"/>
                <w:sz w:val="20"/>
              </w:rPr>
              <w:t>EMR</w:t>
            </w:r>
          </w:p>
        </w:tc>
        <w:tc>
          <w:tcPr>
            <w:tcW w:type="dxa" w:w="1435"/>
          </w:tcPr>
          <w:p>
            <w:r/>
            <w:r>
              <w:rPr>
                <w:rFonts w:ascii="Times New Roman" w:hAnsi="Times New Roman" w:eastAsia="宋体"/>
                <w:sz w:val="20"/>
              </w:rPr>
              <w:t>V5.0（G厂商）</w:t>
            </w:r>
          </w:p>
        </w:tc>
        <w:tc>
          <w:tcPr>
            <w:tcW w:type="dxa" w:w="1435"/>
          </w:tcPr>
          <w:p>
            <w:r/>
            <w:r>
              <w:rPr>
                <w:rFonts w:ascii="Times New Roman" w:hAnsi="Times New Roman" w:eastAsia="宋体"/>
                <w:sz w:val="20"/>
              </w:rPr>
              <w:t>V4.2（H厂商）</w:t>
            </w:r>
          </w:p>
        </w:tc>
        <w:tc>
          <w:tcPr>
            <w:tcW w:type="dxa" w:w="1435"/>
          </w:tcPr>
          <w:p>
            <w:r/>
            <w:r>
              <w:rPr>
                <w:rFonts w:ascii="Times New Roman" w:hAnsi="Times New Roman" w:eastAsia="宋体"/>
                <w:sz w:val="20"/>
              </w:rPr>
              <w:t>V3.5（I厂商）</w:t>
            </w:r>
          </w:p>
        </w:tc>
        <w:tc>
          <w:tcPr>
            <w:tcW w:type="dxa" w:w="1435"/>
          </w:tcPr>
          <w:p>
            <w:r/>
            <w:r>
              <w:rPr>
                <w:rFonts w:ascii="Times New Roman" w:hAnsi="Times New Roman" w:eastAsia="宋体"/>
                <w:sz w:val="20"/>
              </w:rPr>
              <w:t>V4.2（H厂商）</w:t>
            </w:r>
          </w:p>
        </w:tc>
        <w:tc>
          <w:tcPr>
            <w:tcW w:type="dxa" w:w="1435"/>
          </w:tcPr>
          <w:p>
            <w:r/>
            <w:r>
              <w:rPr>
                <w:rFonts w:ascii="Times New Roman" w:hAnsi="Times New Roman" w:eastAsia="宋体"/>
                <w:sz w:val="20"/>
              </w:rPr>
              <w:t>V4.2（H厂商）</w:t>
            </w:r>
          </w:p>
        </w:tc>
      </w:tr>
      <w:tr>
        <w:tc>
          <w:tcPr>
            <w:tcW w:type="dxa" w:w="1435"/>
          </w:tcPr>
          <w:p>
            <w:r/>
            <w:r>
              <w:rPr>
                <w:rFonts w:ascii="Times New Roman" w:hAnsi="Times New Roman" w:eastAsia="宋体"/>
                <w:sz w:val="20"/>
              </w:rPr>
              <w:t>与管理平台接口</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r>
    </w:tbl>
    <w:p/>
    <w:p>
      <w:pPr>
        <w:spacing w:line="400" w:lineRule="exact" w:before="0" w:after="0"/>
        <w:ind w:firstLine="480"/>
        <w:jc w:val="both"/>
      </w:pPr>
      <w:r>
        <w:rPr>
          <w:rFonts w:ascii="Times New Roman" w:hAnsi="Times New Roman" w:eastAsia="宋体"/>
          <w:b w:val="0"/>
          <w:sz w:val="24"/>
        </w:rPr>
        <w:t>这种信息系统异构的现状是后续多院区协同面临的最大技术障碍。虽然管理平台作为统一的后台管理系统在一定程度上实现了运营数据的集中，但各院区的院内系统并未实现真正的数据互通。主要问题体现在以下方面：（1）患者标识符不统一，同一患者在不同医院以不同证件号（如：身份证号、院内就诊卡号、社保号）关联，管理平台需要维护复杂的标识符映射表来实现跨院区患者身份关联；（2）药品编码体系不统一，同一药品（如阿托伐他汀钙片20mg）在医院A的编码为“ATV20-A”，在医院B的编码为“B-ATV-020”，在医院C的编码为“CATV020”，导致处方流转时需要进行编码转换；（3）检查项目编码不统一，不同院区对同一检查项目的命名和编码存在差异，例如“胸部CT平扫”在医院A称为“CT-胸部-平扫”，在医院B称为“胸部CT（平扫）”，语义相同但字符串不匹配，增加了跨院区检查结果互认的技术难度；（4）数据同步时效性不一，医院A和医院B已实现关键业务数据的准实时同步（延迟&lt;5分钟），但医院C因前置机适配方案的限制，数据同步仍为T+1模式（次日同步），导致平台上的医院C数据与实际情况存在一天的滞后。</w:t>
      </w:r>
    </w:p>
    <w:p>
      <w:pPr>
        <w:spacing w:line="240" w:lineRule="auto" w:before="240" w:after="120"/>
        <w:ind w:firstLine="520"/>
        <w:outlineLvl w:val="2"/>
      </w:pPr>
      <w:r>
        <w:rPr>
          <w:rFonts w:ascii="Times New Roman" w:hAnsi="Times New Roman" w:eastAsia="黑体"/>
          <w:b/>
          <w:sz w:val="26"/>
        </w:rPr>
        <w:t>二、线上线下的流程断点</w:t>
      </w:r>
    </w:p>
    <w:p>
      <w:pPr>
        <w:spacing w:line="240" w:lineRule="auto" w:before="240" w:after="120"/>
        <w:ind w:firstLine="480"/>
        <w:outlineLvl w:val="3"/>
      </w:pPr>
      <w:r>
        <w:rPr>
          <w:rFonts w:ascii="Times New Roman" w:hAnsi="Times New Roman" w:eastAsia="黑体"/>
          <w:b/>
          <w:sz w:val="24"/>
        </w:rPr>
        <w:t>（一）电子处方到线下检查的衔接断点</w:t>
      </w:r>
    </w:p>
    <w:p>
      <w:pPr>
        <w:spacing w:line="400" w:lineRule="exact" w:before="0" w:after="0"/>
        <w:ind w:firstLine="480"/>
        <w:jc w:val="both"/>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pPr>
        <w:spacing w:line="240" w:lineRule="auto" w:before="240" w:after="120"/>
        <w:ind w:firstLine="480"/>
        <w:outlineLvl w:val="3"/>
      </w:pPr>
      <w:r>
        <w:rPr>
          <w:rFonts w:ascii="Times New Roman" w:hAnsi="Times New Roman" w:eastAsia="黑体"/>
          <w:b/>
          <w:sz w:val="24"/>
        </w:rPr>
        <w:t>（二）检查结果到复诊的信息回路断点</w:t>
      </w:r>
    </w:p>
    <w:p>
      <w:pPr>
        <w:spacing w:line="400" w:lineRule="exact" w:before="0" w:after="0"/>
        <w:ind w:firstLine="480"/>
        <w:jc w:val="both"/>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pPr>
        <w:spacing w:line="240" w:lineRule="auto" w:before="240" w:after="120"/>
        <w:ind w:firstLine="480"/>
        <w:outlineLvl w:val="3"/>
      </w:pPr>
      <w:r>
        <w:rPr>
          <w:rFonts w:ascii="Times New Roman" w:hAnsi="Times New Roman" w:eastAsia="黑体"/>
          <w:b/>
          <w:sz w:val="24"/>
        </w:rPr>
        <w:t>（三）药品配送的“最后一公里”问题</w:t>
      </w:r>
    </w:p>
    <w:p>
      <w:pPr>
        <w:spacing w:line="400" w:lineRule="exact" w:before="0" w:after="0"/>
        <w:ind w:firstLine="480"/>
        <w:jc w:val="both"/>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pPr>
        <w:spacing w:line="240" w:lineRule="auto" w:before="240" w:after="120"/>
        <w:ind w:firstLine="520"/>
        <w:outlineLvl w:val="2"/>
      </w:pPr>
      <w:r>
        <w:rPr>
          <w:rFonts w:ascii="Times New Roman" w:hAnsi="Times New Roman" w:eastAsia="黑体"/>
          <w:b/>
          <w:sz w:val="26"/>
        </w:rPr>
        <w:t>三、多院区协同障碍</w:t>
      </w:r>
    </w:p>
    <w:p>
      <w:pPr>
        <w:spacing w:line="240" w:lineRule="auto" w:before="240" w:after="120"/>
        <w:ind w:firstLine="480"/>
        <w:outlineLvl w:val="3"/>
      </w:pPr>
      <w:r>
        <w:rPr>
          <w:rFonts w:ascii="Times New Roman" w:hAnsi="Times New Roman" w:eastAsia="黑体"/>
          <w:b/>
          <w:sz w:val="24"/>
        </w:rPr>
        <w:t>（一）信息孤岛问题</w:t>
      </w:r>
    </w:p>
    <w:p>
      <w:pPr>
        <w:spacing w:line="400" w:lineRule="exact" w:before="0" w:after="0"/>
        <w:ind w:firstLine="480"/>
        <w:jc w:val="both"/>
      </w:pPr>
      <w:r>
        <w:rPr>
          <w:rFonts w:ascii="Times New Roman" w:hAnsi="Times New Roman" w:eastAsia="宋体"/>
          <w:b w:val="0"/>
          <w:sz w:val="24"/>
        </w:rPr>
        <w:t>如前所述，各院区信息系统的异构性是导致信息孤岛的根本原因。尽管集团层面已部署管理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pPr>
        <w:spacing w:line="240" w:lineRule="auto" w:before="240" w:after="120"/>
        <w:ind w:firstLine="480"/>
        <w:outlineLvl w:val="3"/>
      </w:pPr>
      <w:r>
        <w:rPr>
          <w:rFonts w:ascii="Times New Roman" w:hAnsi="Times New Roman" w:eastAsia="黑体"/>
          <w:b/>
          <w:sz w:val="24"/>
        </w:rPr>
        <w:t>（二）服务标准不统一</w:t>
      </w:r>
    </w:p>
    <w:p>
      <w:pPr>
        <w:spacing w:line="400" w:lineRule="exact" w:before="0" w:after="0"/>
        <w:ind w:firstLine="480"/>
        <w:jc w:val="both"/>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pPr>
        <w:spacing w:line="240" w:lineRule="auto" w:before="240" w:after="120"/>
        <w:ind w:firstLine="480"/>
        <w:outlineLvl w:val="3"/>
      </w:pPr>
      <w:r>
        <w:rPr>
          <w:rFonts w:ascii="Times New Roman" w:hAnsi="Times New Roman" w:eastAsia="黑体"/>
          <w:b/>
          <w:sz w:val="24"/>
        </w:rPr>
        <w:t>（三）医疗资源配置不均</w:t>
      </w:r>
    </w:p>
    <w:p>
      <w:pPr>
        <w:spacing w:line="400" w:lineRule="exact" w:before="0" w:after="0"/>
        <w:ind w:firstLine="480"/>
        <w:jc w:val="both"/>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pPr>
        <w:spacing w:line="240" w:lineRule="auto" w:before="240" w:after="120"/>
        <w:ind w:firstLine="520"/>
        <w:outlineLvl w:val="2"/>
      </w:pPr>
      <w:r>
        <w:rPr>
          <w:rFonts w:ascii="Times New Roman" w:hAnsi="Times New Roman" w:eastAsia="黑体"/>
          <w:b/>
          <w:sz w:val="26"/>
        </w:rPr>
        <w:t>四、数据利用不足</w:t>
      </w:r>
    </w:p>
    <w:p>
      <w:pPr>
        <w:spacing w:line="400" w:lineRule="exact" w:before="0" w:after="0"/>
        <w:ind w:firstLine="480"/>
        <w:jc w:val="both"/>
      </w:pPr>
      <w:r>
        <w:rPr>
          <w:rFonts w:ascii="Times New Roman" w:hAnsi="Times New Roman" w:eastAsia="宋体"/>
          <w:b w:val="0"/>
          <w:sz w:val="24"/>
        </w:rPr>
        <w:t>A医药集团互联网医院平台在四年的运营中已积累了相当规模的业务数据：一千余万条事件日志、数百万条问诊记录，还有大量的处方和检查数据。只是这些数据被利用的程度，还停留在比较初级的层面。</w:t>
      </w:r>
    </w:p>
    <w:p>
      <w:pPr>
        <w:spacing w:line="400" w:lineRule="exact" w:before="0" w:after="0"/>
        <w:ind w:firstLine="480"/>
        <w:jc w:val="both"/>
      </w:pPr>
      <w:r>
        <w:rPr>
          <w:rFonts w:ascii="Times New Roman" w:hAnsi="Times New Roman" w:eastAsia="宋体"/>
          <w:b w:val="0"/>
          <w:sz w:val="24"/>
        </w:rPr>
        <w:t>报表的维度单一是第一处短板。平台现在的数据报表以描述性统计为主：“本月在线问诊量”、“各科室处方量排名”、“药品配送成功率”之类的指标。宏观状况看得见，深层的流程问题却藏在水面之下：单看“本月在线问诊量”，看不出问诊流程里的等待时间分布，看不出院区之间问诊效率的高低，更看不出哪个环节在“堵塞”。</w:t>
      </w:r>
    </w:p>
    <w:p>
      <w:pPr>
        <w:spacing w:line="400" w:lineRule="exact" w:before="0" w:after="0"/>
        <w:ind w:firstLine="480"/>
        <w:jc w:val="both"/>
      </w:pPr>
      <w:r>
        <w:rPr>
          <w:rFonts w:ascii="Times New Roman" w:hAnsi="Times New Roman" w:eastAsia="宋体"/>
          <w:b w:val="0"/>
          <w:sz w:val="24"/>
        </w:rPr>
        <w:t>第二处短板是缺一个流程视角的分析框架。平台的数据分析仅围着“结果指标”转：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谁也说不准。</w:t>
      </w:r>
    </w:p>
    <w:p>
      <w:pPr>
        <w:spacing w:line="400" w:lineRule="exact" w:before="0" w:after="0"/>
        <w:ind w:firstLine="480"/>
        <w:jc w:val="both"/>
      </w:pPr>
      <w:r>
        <w:rPr>
          <w:rFonts w:ascii="Times New Roman" w:hAnsi="Times New Roman" w:eastAsia="宋体"/>
          <w:b w:val="0"/>
          <w:sz w:val="24"/>
        </w:rPr>
        <w:t>第三处短板在数据分析和流程改进之间断着一条线。就算某个数据异常被发现了，比如某院区药品配送成功率突然下降，也没有一套系统的方法把这个信号转成具体的改进行动。数据分析停在“发现问题”这一步，走不到“诊断根因”和“设计方案”那两步。</w:t>
      </w:r>
    </w:p>
    <w:p>
      <w:pPr>
        <w:spacing w:line="400" w:lineRule="exact" w:before="0" w:after="0"/>
        <w:ind w:firstLine="480"/>
        <w:jc w:val="both"/>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从数据中系统地提取流程洞察，给流程优化提供客观、定量的决策依据。</w:t>
      </w:r>
    </w:p>
    <w:p>
      <w:pPr>
        <w:spacing w:line="240" w:lineRule="auto" w:before="480" w:after="360"/>
        <w:jc w:val="center"/>
        <w:outlineLvl w:val="0"/>
      </w:pPr>
      <w:r>
        <w:rPr>
          <w:rFonts w:ascii="Times New Roman" w:hAnsi="Times New Roman" w:eastAsia="黑体"/>
          <w:b/>
          <w:sz w:val="32"/>
        </w:rPr>
        <w:t>第四章　服务流程诊断与瓶颈优先级评价</w:t>
      </w:r>
    </w:p>
    <w:p>
      <w:pPr>
        <w:spacing w:line="240" w:lineRule="auto" w:before="480" w:after="120"/>
        <w:jc w:val="center"/>
        <w:outlineLvl w:val="1"/>
      </w:pPr>
      <w:r>
        <w:rPr>
          <w:rFonts w:ascii="Times New Roman" w:hAnsi="Times New Roman" w:eastAsia="黑体"/>
          <w:b/>
          <w:sz w:val="28"/>
        </w:rPr>
        <w:t>第一节　研究设计</w:t>
      </w:r>
    </w:p>
    <w:p>
      <w:pPr>
        <w:jc w:val="center"/>
      </w:pPr>
      <w:r>
        <w:drawing>
          <wp:inline xmlns:a="http://schemas.openxmlformats.org/drawingml/2006/main" xmlns:pic="http://schemas.openxmlformats.org/drawingml/2006/picture">
            <wp:extent cx="5040000" cy="4278638"/>
            <wp:docPr id="11" name="Picture 11"/>
            <wp:cNvGraphicFramePr>
              <a:graphicFrameLocks noChangeAspect="1"/>
            </wp:cNvGraphicFramePr>
            <a:graphic>
              <a:graphicData uri="http://schemas.openxmlformats.org/drawingml/2006/picture">
                <pic:pic>
                  <pic:nvPicPr>
                    <pic:cNvPr id="0" name="图4.1-研究设计方法框架.png"/>
                    <pic:cNvPicPr/>
                  </pic:nvPicPr>
                  <pic:blipFill>
                    <a:blip r:embed="rId21"/>
                    <a:stretch>
                      <a:fillRect/>
                    </a:stretch>
                  </pic:blipFill>
                  <pic:spPr>
                    <a:xfrm>
                      <a:off x="0" y="0"/>
                      <a:ext cx="5040000" cy="4278638"/>
                    </a:xfrm>
                    <a:prstGeom prst="rect"/>
                  </pic:spPr>
                </pic:pic>
              </a:graphicData>
            </a:graphic>
          </wp:inline>
        </w:drawing>
      </w:r>
    </w:p>
    <w:p>
      <w:pPr>
        <w:spacing w:line="240" w:lineRule="auto" w:before="120" w:after="240"/>
        <w:jc w:val="center"/>
      </w:pPr>
      <w:r>
        <w:rPr>
          <w:rFonts w:ascii="Times New Roman" w:hAnsi="Times New Roman" w:eastAsia="宋体"/>
          <w:b w:val="0"/>
          <w:sz w:val="21"/>
        </w:rPr>
        <w:t>图4.1　研究设计框架</w:t>
      </w:r>
    </w:p>
    <w:p>
      <w:pPr>
        <w:spacing w:line="400" w:lineRule="exact" w:before="0" w:after="0"/>
        <w:ind w:firstLine="480"/>
        <w:jc w:val="both"/>
      </w:pPr>
      <w:r>
        <w:rPr>
          <w:rFonts w:ascii="Times New Roman" w:hAnsi="Times New Roman" w:eastAsia="宋体"/>
          <w:b w:val="0"/>
          <w:sz w:val="24"/>
        </w:rPr>
        <w:t>本研究采用的四种方法——过程分析法、层次分析法（AHP）、服务蓝图法和准实验法——按“诊断→排序→设计→验证”的顺序串联，总体设计如图4.1所示。其中，过程分析法与AHP的应用设计在本节交代，其应用结果分别见本章第二节与第三节；服务蓝图法与准实验法的应用设计见第五章第一节，其应用与结果见第五章第二、三节。</w:t>
      </w:r>
    </w:p>
    <w:p>
      <w:pPr>
        <w:spacing w:line="240" w:lineRule="auto" w:before="240" w:after="120"/>
        <w:ind w:firstLine="520"/>
        <w:outlineLvl w:val="2"/>
      </w:pPr>
      <w:r>
        <w:rPr>
          <w:rFonts w:ascii="Times New Roman" w:hAnsi="Times New Roman" w:eastAsia="黑体"/>
          <w:b/>
          <w:sz w:val="26"/>
        </w:rPr>
        <w:t>一、过程分析法应用设计</w:t>
      </w:r>
    </w:p>
    <w:p>
      <w:pPr>
        <w:spacing w:line="240" w:lineRule="auto" w:before="240" w:after="120"/>
        <w:ind w:firstLine="480"/>
        <w:outlineLvl w:val="3"/>
      </w:pPr>
      <w:r>
        <w:rPr>
          <w:rFonts w:ascii="Times New Roman" w:hAnsi="Times New Roman" w:eastAsia="黑体"/>
          <w:b/>
          <w:sz w:val="24"/>
        </w:rPr>
        <w:t>（一）事件日志提取方案</w:t>
      </w:r>
    </w:p>
    <w:p>
      <w:pPr>
        <w:spacing w:line="400" w:lineRule="exact" w:before="0" w:after="0"/>
        <w:ind w:firstLine="480"/>
        <w:jc w:val="both"/>
      </w:pPr>
      <w:r>
        <w:rPr>
          <w:rFonts w:ascii="Times New Roman" w:hAnsi="Times New Roman" w:eastAsia="宋体"/>
          <w:b w:val="0"/>
          <w:sz w:val="24"/>
        </w:rPr>
        <w:t>过程分析法的核心输入是事件日志，其必须包含案例标识、活动名称和时间戳三个基本要素（Van der Aalst，2011）。本研究基于A医药集团统一管理平台积累的运营数据，提取符合过程分析法要求的事件日志数据集。</w:t>
      </w:r>
    </w:p>
    <w:p>
      <w:pPr>
        <w:spacing w:line="400" w:lineRule="exact" w:before="0" w:after="0"/>
        <w:ind w:firstLine="480"/>
        <w:jc w:val="both"/>
      </w:pPr>
      <w:r>
        <w:rPr>
          <w:rFonts w:ascii="Times New Roman" w:hAnsi="Times New Roman" w:eastAsia="宋体"/>
          <w:b w:val="0"/>
          <w:sz w:val="24"/>
        </w:rPr>
        <w:t>数据提取范围覆盖2022年6月至2026年5月期间（48个月），涵盖医院A、医院B、医院C、医院D、医院E五个院区的完整运营数据（医院D、医院E自2024年起接入），共计1150万条事件记录。2022年6月之前平台处于试点接入试运行阶段，事件依赖事后手工补录且字段不全，故未纳入本研究。研究者作为集团互联网医院平台建设的参与者，获得平台运营管理数据的授权使用；所有患者数据均已不可逆脱敏。还需说明方法边界：流程发现与瓶颈诊断虽基于2022年6月至2026年5月的整体样本，但优化方案仅于2026年3月起在医院A试点，试点期（2026年3月至5月）医院A的事件量约占全样本的5%，不足以改变高频路径与瓶颈环节的识别结果；准实验的前测期（2025年12月至2026年2月）与后测期（2026年3月至5月）严格区隔，干预前后数据不混用。数据提取通过管理平台后台的数据报表模块完成，按照以下数据映射规则将平台原始数据字段转换为过程分析法标准格式。</w:t>
      </w:r>
    </w:p>
    <w:p>
      <w:pPr>
        <w:spacing w:line="240" w:lineRule="auto" w:before="120" w:after="120"/>
        <w:jc w:val="center"/>
      </w:pPr>
      <w:r>
        <w:rPr>
          <w:rFonts w:ascii="Times New Roman" w:hAnsi="Times New Roman" w:eastAsia="宋体"/>
          <w:b w:val="0"/>
          <w:sz w:val="21"/>
        </w:rPr>
        <w:t>表4.1　事件日志数据字段映射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过程分析法标准字段</w:t>
            </w:r>
          </w:p>
        </w:tc>
        <w:tc>
          <w:tcPr>
            <w:tcW w:type="dxa" w:w="2871"/>
            <w:tcBorders>
              <w:bottom w:val="single" w:sz="12" w:space="0" w:color="000000"/>
            </w:tcBorders>
          </w:tcPr>
          <w:p>
            <w:pPr>
              <w:jc w:val="center"/>
            </w:pPr>
            <w:r/>
            <w:r>
              <w:rPr>
                <w:rFonts w:ascii="Times New Roman" w:hAnsi="Times New Roman" w:eastAsia="宋体"/>
                <w:b/>
                <w:sz w:val="20"/>
              </w:rPr>
              <w:t>平台原始字段</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Case ID</w:t>
            </w:r>
          </w:p>
        </w:tc>
        <w:tc>
          <w:tcPr>
            <w:tcW w:type="dxa" w:w="2871"/>
          </w:tcPr>
          <w:p>
            <w:r/>
            <w:r>
              <w:rPr>
                <w:rFonts w:ascii="Times New Roman" w:hAnsi="Times New Roman" w:eastAsia="宋体"/>
                <w:sz w:val="20"/>
              </w:rPr>
              <w:t>案例ID（案例标识编码）</w:t>
            </w:r>
          </w:p>
        </w:tc>
        <w:tc>
          <w:tcPr>
            <w:tcW w:type="dxa" w:w="2871"/>
          </w:tcPr>
          <w:p>
            <w:r/>
            <w:r>
              <w:rPr>
                <w:rFonts w:ascii="Times New Roman" w:hAnsi="Times New Roman" w:eastAsia="宋体"/>
                <w:sz w:val="20"/>
              </w:rPr>
              <w:t>一次完整就诊流程的唯一标识</w:t>
            </w:r>
          </w:p>
        </w:tc>
      </w:tr>
      <w:tr>
        <w:tc>
          <w:tcPr>
            <w:tcW w:type="dxa" w:w="2871"/>
          </w:tcPr>
          <w:p>
            <w:r/>
            <w:r>
              <w:rPr>
                <w:rFonts w:ascii="Times New Roman" w:hAnsi="Times New Roman" w:eastAsia="宋体"/>
                <w:sz w:val="20"/>
              </w:rPr>
              <w:t>Activity</w:t>
            </w:r>
          </w:p>
        </w:tc>
        <w:tc>
          <w:tcPr>
            <w:tcW w:type="dxa" w:w="2871"/>
          </w:tcPr>
          <w:p>
            <w:r/>
            <w:r>
              <w:rPr>
                <w:rFonts w:ascii="Times New Roman" w:hAnsi="Times New Roman" w:eastAsia="宋体"/>
                <w:sz w:val="20"/>
              </w:rPr>
              <w:t>事件类型</w:t>
            </w:r>
          </w:p>
        </w:tc>
        <w:tc>
          <w:tcPr>
            <w:tcW w:type="dxa" w:w="2871"/>
          </w:tcPr>
          <w:p>
            <w:r/>
            <w:r>
              <w:rPr>
                <w:rFonts w:ascii="Times New Roman" w:hAnsi="Times New Roman" w:eastAsia="宋体"/>
                <w:sz w:val="20"/>
              </w:rPr>
              <w:t>问诊、处方开具、处方审核、检查申请、检查完成、取药等</w:t>
            </w:r>
          </w:p>
        </w:tc>
      </w:tr>
      <w:tr>
        <w:tc>
          <w:tcPr>
            <w:tcW w:type="dxa" w:w="2871"/>
          </w:tcPr>
          <w:p>
            <w:r/>
            <w:r>
              <w:rPr>
                <w:rFonts w:ascii="Times New Roman" w:hAnsi="Times New Roman" w:eastAsia="宋体"/>
                <w:sz w:val="20"/>
              </w:rPr>
              <w:t>Timestamp</w:t>
            </w:r>
          </w:p>
        </w:tc>
        <w:tc>
          <w:tcPr>
            <w:tcW w:type="dxa" w:w="2871"/>
          </w:tcPr>
          <w:p>
            <w:r/>
            <w:r>
              <w:rPr>
                <w:rFonts w:ascii="Times New Roman" w:hAnsi="Times New Roman" w:eastAsia="宋体"/>
                <w:sz w:val="20"/>
              </w:rPr>
              <w:t>时间戳</w:t>
            </w:r>
          </w:p>
        </w:tc>
        <w:tc>
          <w:tcPr>
            <w:tcW w:type="dxa" w:w="2871"/>
          </w:tcPr>
          <w:p>
            <w:r/>
            <w:r>
              <w:rPr>
                <w:rFonts w:ascii="Times New Roman" w:hAnsi="Times New Roman" w:eastAsia="宋体"/>
                <w:sz w:val="20"/>
              </w:rPr>
              <w:t>精确到秒的事件发生时间</w:t>
            </w:r>
          </w:p>
        </w:tc>
      </w:tr>
      <w:tr>
        <w:tc>
          <w:tcPr>
            <w:tcW w:type="dxa" w:w="2871"/>
          </w:tcPr>
          <w:p>
            <w:r/>
            <w:r>
              <w:rPr>
                <w:rFonts w:ascii="Times New Roman" w:hAnsi="Times New Roman" w:eastAsia="宋体"/>
                <w:sz w:val="20"/>
              </w:rPr>
              <w:t>Resource</w:t>
            </w:r>
          </w:p>
        </w:tc>
        <w:tc>
          <w:tcPr>
            <w:tcW w:type="dxa" w:w="2871"/>
          </w:tcPr>
          <w:p>
            <w:r/>
            <w:r>
              <w:rPr>
                <w:rFonts w:ascii="Times New Roman" w:hAnsi="Times New Roman" w:eastAsia="宋体"/>
                <w:sz w:val="20"/>
              </w:rPr>
              <w:t>操作者（脱敏编码）</w:t>
            </w:r>
          </w:p>
        </w:tc>
        <w:tc>
          <w:tcPr>
            <w:tcW w:type="dxa" w:w="2871"/>
          </w:tcPr>
          <w:p>
            <w:r/>
            <w:r>
              <w:rPr>
                <w:rFonts w:ascii="Times New Roman" w:hAnsi="Times New Roman" w:eastAsia="宋体"/>
                <w:sz w:val="20"/>
              </w:rPr>
              <w:t>执行该操作的人员标识</w:t>
            </w:r>
          </w:p>
        </w:tc>
      </w:tr>
      <w:tr>
        <w:tc>
          <w:tcPr>
            <w:tcW w:type="dxa" w:w="2871"/>
          </w:tcPr>
          <w:p>
            <w:r/>
            <w:r>
              <w:rPr>
                <w:rFonts w:ascii="Times New Roman" w:hAnsi="Times New Roman" w:eastAsia="宋体"/>
                <w:sz w:val="20"/>
              </w:rPr>
              <w:t>Role</w:t>
            </w:r>
          </w:p>
        </w:tc>
        <w:tc>
          <w:tcPr>
            <w:tcW w:type="dxa" w:w="2871"/>
          </w:tcPr>
          <w:p>
            <w:r/>
            <w:r>
              <w:rPr>
                <w:rFonts w:ascii="Times New Roman" w:hAnsi="Times New Roman" w:eastAsia="宋体"/>
                <w:sz w:val="20"/>
              </w:rPr>
              <w:t>操作者角色</w:t>
            </w:r>
          </w:p>
        </w:tc>
        <w:tc>
          <w:tcPr>
            <w:tcW w:type="dxa" w:w="2871"/>
          </w:tcPr>
          <w:p>
            <w:r/>
            <w:r>
              <w:rPr>
                <w:rFonts w:ascii="Times New Roman" w:hAnsi="Times New Roman" w:eastAsia="宋体"/>
                <w:sz w:val="20"/>
              </w:rPr>
              <w:t>患者、医生、药师、系统</w:t>
            </w:r>
          </w:p>
        </w:tc>
      </w:tr>
      <w:tr>
        <w:tc>
          <w:tcPr>
            <w:tcW w:type="dxa" w:w="2871"/>
          </w:tcPr>
          <w:p>
            <w:r/>
            <w:r>
              <w:rPr>
                <w:rFonts w:ascii="Times New Roman" w:hAnsi="Times New Roman" w:eastAsia="宋体"/>
                <w:sz w:val="20"/>
              </w:rPr>
              <w:t>Department</w:t>
            </w:r>
          </w:p>
        </w:tc>
        <w:tc>
          <w:tcPr>
            <w:tcW w:type="dxa" w:w="2871"/>
          </w:tcPr>
          <w:p>
            <w:r/>
            <w:r>
              <w:rPr>
                <w:rFonts w:ascii="Times New Roman" w:hAnsi="Times New Roman" w:eastAsia="宋体"/>
                <w:sz w:val="20"/>
              </w:rPr>
              <w:t>所属科室</w:t>
            </w:r>
          </w:p>
        </w:tc>
        <w:tc>
          <w:tcPr>
            <w:tcW w:type="dxa" w:w="2871"/>
          </w:tcPr>
          <w:p>
            <w:r/>
            <w:r>
              <w:rPr>
                <w:rFonts w:ascii="Times New Roman" w:hAnsi="Times New Roman" w:eastAsia="宋体"/>
                <w:sz w:val="20"/>
              </w:rPr>
              <w:t>内科、外科、妇产科等</w:t>
            </w:r>
          </w:p>
        </w:tc>
      </w:tr>
      <w:tr>
        <w:tc>
          <w:tcPr>
            <w:tcW w:type="dxa" w:w="2871"/>
          </w:tcPr>
          <w:p>
            <w:r/>
            <w:r>
              <w:rPr>
                <w:rFonts w:ascii="Times New Roman" w:hAnsi="Times New Roman" w:eastAsia="宋体"/>
                <w:sz w:val="20"/>
              </w:rPr>
              <w:t>Location</w:t>
            </w:r>
          </w:p>
        </w:tc>
        <w:tc>
          <w:tcPr>
            <w:tcW w:type="dxa" w:w="2871"/>
          </w:tcPr>
          <w:p>
            <w:r/>
            <w:r>
              <w:rPr>
                <w:rFonts w:ascii="Times New Roman" w:hAnsi="Times New Roman" w:eastAsia="宋体"/>
                <w:sz w:val="20"/>
              </w:rPr>
              <w:t>发生院区</w:t>
            </w:r>
          </w:p>
        </w:tc>
        <w:tc>
          <w:tcPr>
            <w:tcW w:type="dxa" w:w="2871"/>
          </w:tcPr>
          <w:p>
            <w:r/>
            <w:r>
              <w:rPr>
                <w:rFonts w:ascii="Times New Roman" w:hAnsi="Times New Roman" w:eastAsia="宋体"/>
                <w:sz w:val="20"/>
              </w:rPr>
              <w:t>医院A/B/C/D/E</w:t>
            </w:r>
          </w:p>
        </w:tc>
      </w:tr>
    </w:tbl>
    <w:p/>
    <w:p>
      <w:pPr>
        <w:spacing w:line="400" w:lineRule="exact" w:before="0" w:after="0"/>
        <w:ind w:firstLine="480"/>
        <w:jc w:val="both"/>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pPr>
        <w:spacing w:line="240" w:lineRule="auto" w:before="240" w:after="120"/>
        <w:ind w:firstLine="480"/>
        <w:outlineLvl w:val="3"/>
      </w:pPr>
      <w:r>
        <w:rPr>
          <w:rFonts w:ascii="Times New Roman" w:hAnsi="Times New Roman" w:eastAsia="黑体"/>
          <w:b/>
          <w:sz w:val="24"/>
        </w:rPr>
        <w:t>（二）流程模型生成方法</w:t>
      </w:r>
    </w:p>
    <w:p>
      <w:pPr>
        <w:spacing w:line="400" w:lineRule="exact" w:before="0" w:after="0"/>
        <w:ind w:firstLine="480"/>
        <w:jc w:val="both"/>
      </w:pPr>
      <w:r>
        <w:rPr>
          <w:rFonts w:ascii="Times New Roman" w:hAnsi="Times New Roman" w:eastAsia="宋体"/>
          <w:b w:val="0"/>
          <w:sz w:val="24"/>
        </w:rPr>
        <w:t>本研究采用发现型过程分析法，使用Python环境下的Pm4py开源库作为主要分析工具。Pm4py提供了完整的Process Mining算法实现，包括Alpha Miner、Inductive Miner和Heuristic Miner等主流流程发现算法（Berti 等，2019）。本研究选用Inductive Miner算法生成流程模型，该算法在处理含噪声和不完整事件日志时具有较好的鲁棒性，能够生成合理的流程模型结构并保证模型的合理性。</w:t>
      </w:r>
    </w:p>
    <w:p>
      <w:pPr>
        <w:spacing w:line="400" w:lineRule="exact" w:before="0" w:after="0"/>
        <w:ind w:firstLine="480"/>
        <w:jc w:val="both"/>
      </w:pPr>
      <w:r>
        <w:rPr>
          <w:rFonts w:ascii="Times New Roman" w:hAnsi="Times New Roman" w:eastAsia="宋体"/>
          <w:b w:val="0"/>
          <w:sz w:val="24"/>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pPr>
        <w:spacing w:line="240" w:lineRule="auto" w:before="240" w:after="120"/>
        <w:ind w:firstLine="480"/>
        <w:outlineLvl w:val="3"/>
      </w:pPr>
      <w:r>
        <w:rPr>
          <w:rFonts w:ascii="Times New Roman" w:hAnsi="Times New Roman" w:eastAsia="黑体"/>
          <w:b/>
          <w:sz w:val="24"/>
        </w:rPr>
        <w:t>（三）变体分析与瓶颈识别路径</w:t>
      </w:r>
    </w:p>
    <w:p>
      <w:pPr>
        <w:spacing w:line="400" w:lineRule="exact" w:before="0" w:after="0"/>
        <w:ind w:firstLine="480"/>
        <w:jc w:val="both"/>
      </w:pPr>
      <w:r>
        <w:rPr>
          <w:rFonts w:ascii="Times New Roman" w:hAnsi="Times New Roman" w:eastAsia="宋体"/>
          <w:b w:val="0"/>
          <w:sz w:val="24"/>
        </w:rPr>
        <w:t>在生成全局流程模型的基础上，本研究进一步进行流程变体分析，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pPr>
        <w:spacing w:line="400" w:lineRule="exact" w:before="0" w:after="0"/>
        <w:ind w:firstLine="480"/>
        <w:jc w:val="both"/>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pPr>
        <w:spacing w:line="240" w:lineRule="auto" w:before="240" w:after="120"/>
        <w:ind w:firstLine="520"/>
        <w:outlineLvl w:val="2"/>
      </w:pPr>
      <w:r>
        <w:rPr>
          <w:rFonts w:ascii="Times New Roman" w:hAnsi="Times New Roman" w:eastAsia="黑体"/>
          <w:b/>
          <w:sz w:val="26"/>
        </w:rPr>
        <w:t>二、层次分析法（AHP）应用设计</w:t>
      </w:r>
    </w:p>
    <w:p>
      <w:pPr>
        <w:spacing w:line="240" w:lineRule="auto" w:before="240" w:after="120"/>
        <w:ind w:firstLine="480"/>
        <w:outlineLvl w:val="3"/>
      </w:pPr>
      <w:r>
        <w:rPr>
          <w:rFonts w:ascii="Times New Roman" w:hAnsi="Times New Roman" w:eastAsia="黑体"/>
          <w:b/>
          <w:sz w:val="24"/>
        </w:rPr>
        <w:t>（一）层次结构构建</w:t>
      </w:r>
    </w:p>
    <w:p>
      <w:pPr>
        <w:spacing w:line="400" w:lineRule="exact" w:before="0" w:after="0"/>
        <w:ind w:firstLine="480"/>
        <w:jc w:val="both"/>
      </w:pPr>
      <w:r>
        <w:rPr>
          <w:rFonts w:ascii="Times New Roman" w:hAnsi="Times New Roman" w:eastAsia="宋体"/>
          <w:b w:val="0"/>
          <w:sz w:val="24"/>
        </w:rPr>
        <w:t>AHP的基本原理见第二章第二节，此处不再复述。本研究中，它承担瓶颈改进优先级的评价与排序：把第四章第二节的诊断结论和管理人员的经验判断，转化为可比较、可检验的资源配置依据。</w:t>
      </w:r>
    </w:p>
    <w:p>
      <w:pPr>
        <w:spacing w:line="400" w:lineRule="exact" w:before="0" w:after="0"/>
        <w:ind w:firstLine="480"/>
        <w:jc w:val="both"/>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pPr>
        <w:spacing w:line="240" w:lineRule="auto" w:before="120" w:after="120"/>
        <w:jc w:val="center"/>
      </w:pPr>
      <w:r>
        <w:rPr>
          <w:rFonts w:ascii="Times New Roman" w:hAnsi="Times New Roman" w:eastAsia="宋体"/>
          <w:b w:val="0"/>
          <w:sz w:val="21"/>
        </w:rPr>
        <w:t>表4.2　AHP层次结构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层次</w:t>
            </w:r>
          </w:p>
        </w:tc>
        <w:tc>
          <w:tcPr>
            <w:tcW w:type="dxa" w:w="2871"/>
            <w:tcBorders>
              <w:bottom w:val="single" w:sz="12" w:space="0" w:color="000000"/>
            </w:tcBorders>
          </w:tcPr>
          <w:p>
            <w:pPr>
              <w:jc w:val="center"/>
            </w:pPr>
            <w:r/>
            <w:r>
              <w:rPr>
                <w:rFonts w:ascii="Times New Roman" w:hAnsi="Times New Roman" w:eastAsia="宋体"/>
                <w:b/>
                <w:sz w:val="20"/>
              </w:rPr>
              <w:t>内容</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目标层</w:t>
            </w:r>
          </w:p>
        </w:tc>
        <w:tc>
          <w:tcPr>
            <w:tcW w:type="dxa" w:w="2871"/>
          </w:tcPr>
          <w:p>
            <w:r/>
            <w:r>
              <w:rPr>
                <w:rFonts w:ascii="Times New Roman" w:hAnsi="Times New Roman" w:eastAsia="宋体"/>
                <w:sz w:val="20"/>
              </w:rPr>
              <w:t>流程瓶颈改进优先级排序</w:t>
            </w:r>
          </w:p>
        </w:tc>
        <w:tc>
          <w:tcPr>
            <w:tcW w:type="dxa" w:w="2871"/>
          </w:tcPr>
          <w:p>
            <w:r/>
            <w:r>
              <w:rPr>
                <w:rFonts w:ascii="Times New Roman" w:hAnsi="Times New Roman" w:eastAsia="宋体"/>
                <w:sz w:val="20"/>
              </w:rPr>
              <w:t>确定各瓶颈环节的改进优先顺序</w:t>
            </w:r>
          </w:p>
        </w:tc>
      </w:tr>
      <w:tr>
        <w:tc>
          <w:tcPr>
            <w:tcW w:type="dxa" w:w="2871"/>
          </w:tcPr>
          <w:p>
            <w:r/>
            <w:r>
              <w:rPr>
                <w:rFonts w:ascii="Times New Roman" w:hAnsi="Times New Roman" w:eastAsia="宋体"/>
                <w:sz w:val="20"/>
              </w:rPr>
              <w:t>准则层</w:t>
            </w:r>
          </w:p>
        </w:tc>
        <w:tc>
          <w:tcPr>
            <w:tcW w:type="dxa" w:w="2871"/>
          </w:tcPr>
          <w:p>
            <w:r/>
            <w:r>
              <w:rPr>
                <w:rFonts w:ascii="Times New Roman" w:hAnsi="Times New Roman" w:eastAsia="宋体"/>
                <w:sz w:val="20"/>
              </w:rPr>
              <w:t>C1影响程度、C2改造成本、C3实施难度、C4预期效果、C5患者影响</w:t>
            </w:r>
          </w:p>
        </w:tc>
        <w:tc>
          <w:tcPr>
            <w:tcW w:type="dxa" w:w="2871"/>
          </w:tcPr>
          <w:p>
            <w:r/>
            <w:r>
              <w:rPr>
                <w:rFonts w:ascii="Times New Roman" w:hAnsi="Times New Roman" w:eastAsia="宋体"/>
                <w:sz w:val="20"/>
              </w:rPr>
              <w:t>五个评价维度</w:t>
            </w:r>
          </w:p>
        </w:tc>
      </w:tr>
      <w:tr>
        <w:tc>
          <w:tcPr>
            <w:tcW w:type="dxa" w:w="2871"/>
          </w:tcPr>
          <w:p>
            <w:r/>
            <w:r>
              <w:rPr>
                <w:rFonts w:ascii="Times New Roman" w:hAnsi="Times New Roman" w:eastAsia="宋体"/>
                <w:sz w:val="20"/>
              </w:rPr>
              <w:t>方案层</w:t>
            </w:r>
          </w:p>
        </w:tc>
        <w:tc>
          <w:tcPr>
            <w:tcW w:type="dxa" w:w="2871"/>
          </w:tcPr>
          <w:p>
            <w:r/>
            <w:r>
              <w:rPr>
                <w:rFonts w:ascii="Times New Roman" w:hAnsi="Times New Roman" w:eastAsia="宋体"/>
                <w:sz w:val="20"/>
              </w:rPr>
              <w:t>B1处方-检查衔接断点、B2检查-复诊回路断点、B3配送最后一公里、B4信息孤岛、B5标准不统一、B6数据利用不足</w:t>
            </w:r>
          </w:p>
        </w:tc>
        <w:tc>
          <w:tcPr>
            <w:tcW w:type="dxa" w:w="2871"/>
          </w:tcPr>
          <w:p>
            <w:r/>
            <w:r>
              <w:rPr>
                <w:rFonts w:ascii="Times New Roman" w:hAnsi="Times New Roman" w:eastAsia="宋体"/>
                <w:sz w:val="20"/>
              </w:rPr>
              <w:t>待排序的瓶颈环节</w:t>
            </w:r>
          </w:p>
        </w:tc>
      </w:tr>
    </w:tbl>
    <w:p/>
    <w:p>
      <w:pPr>
        <w:spacing w:line="240" w:lineRule="auto" w:before="240" w:after="120"/>
        <w:ind w:firstLine="480"/>
        <w:outlineLvl w:val="3"/>
      </w:pPr>
      <w:r>
        <w:rPr>
          <w:rFonts w:ascii="Times New Roman" w:hAnsi="Times New Roman" w:eastAsia="黑体"/>
          <w:b/>
          <w:sz w:val="24"/>
        </w:rPr>
        <w:t>（二）判断矩阵设计</w:t>
      </w:r>
    </w:p>
    <w:p>
      <w:pPr>
        <w:spacing w:line="400" w:lineRule="exact" w:before="0" w:after="0"/>
        <w:ind w:firstLine="480"/>
        <w:jc w:val="both"/>
      </w:pPr>
      <w:r>
        <w:rPr>
          <w:rFonts w:ascii="Times New Roman" w:hAnsi="Times New Roman" w:eastAsia="宋体"/>
          <w:b w:val="0"/>
          <w:sz w:val="24"/>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pPr>
        <w:spacing w:line="400" w:lineRule="exact" w:before="0" w:after="0"/>
        <w:ind w:firstLine="480"/>
        <w:jc w:val="both"/>
      </w:pPr>
      <w:r>
        <w:rPr>
          <w:rFonts w:ascii="Times New Roman" w:hAnsi="Times New Roman" w:eastAsia="宋体"/>
          <w:b w:val="0"/>
          <w:sz w:val="24"/>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p>
    <w:p>
      <w:pPr>
        <w:spacing w:line="240" w:lineRule="auto" w:before="120" w:after="120"/>
        <w:jc w:val="center"/>
      </w:pPr>
      <w:r>
        <w:rPr>
          <w:rFonts w:ascii="Times New Roman" w:hAnsi="Times New Roman" w:eastAsia="宋体"/>
          <w:b w:val="0"/>
          <w:sz w:val="21"/>
        </w:rPr>
        <w:t>表4.3　准则层判断矩阵</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准则</w:t>
            </w:r>
          </w:p>
        </w:tc>
        <w:tc>
          <w:tcPr>
            <w:tcW w:type="dxa" w:w="1435"/>
            <w:tcBorders>
              <w:bottom w:val="single" w:sz="12" w:space="0" w:color="000000"/>
            </w:tcBorders>
          </w:tcPr>
          <w:p>
            <w:pPr>
              <w:jc w:val="center"/>
            </w:pPr>
            <w:r/>
            <w:r>
              <w:rPr>
                <w:rFonts w:ascii="Times New Roman" w:hAnsi="Times New Roman" w:eastAsia="宋体"/>
                <w:b/>
                <w:sz w:val="20"/>
              </w:rPr>
              <w:t>C1影响程度</w:t>
            </w:r>
          </w:p>
        </w:tc>
        <w:tc>
          <w:tcPr>
            <w:tcW w:type="dxa" w:w="1435"/>
            <w:tcBorders>
              <w:bottom w:val="single" w:sz="12" w:space="0" w:color="000000"/>
            </w:tcBorders>
          </w:tcPr>
          <w:p>
            <w:pPr>
              <w:jc w:val="center"/>
            </w:pPr>
            <w:r/>
            <w:r>
              <w:rPr>
                <w:rFonts w:ascii="Times New Roman" w:hAnsi="Times New Roman" w:eastAsia="宋体"/>
                <w:b/>
                <w:sz w:val="20"/>
              </w:rPr>
              <w:t>C2改造成本</w:t>
            </w:r>
          </w:p>
        </w:tc>
        <w:tc>
          <w:tcPr>
            <w:tcW w:type="dxa" w:w="1435"/>
            <w:tcBorders>
              <w:bottom w:val="single" w:sz="12" w:space="0" w:color="000000"/>
            </w:tcBorders>
          </w:tcPr>
          <w:p>
            <w:pPr>
              <w:jc w:val="center"/>
            </w:pPr>
            <w:r/>
            <w:r>
              <w:rPr>
                <w:rFonts w:ascii="Times New Roman" w:hAnsi="Times New Roman" w:eastAsia="宋体"/>
                <w:b/>
                <w:sz w:val="20"/>
              </w:rPr>
              <w:t>C3实施难度</w:t>
            </w:r>
          </w:p>
        </w:tc>
        <w:tc>
          <w:tcPr>
            <w:tcW w:type="dxa" w:w="1435"/>
            <w:tcBorders>
              <w:bottom w:val="single" w:sz="12" w:space="0" w:color="000000"/>
            </w:tcBorders>
          </w:tcPr>
          <w:p>
            <w:pPr>
              <w:jc w:val="center"/>
            </w:pPr>
            <w:r/>
            <w:r>
              <w:rPr>
                <w:rFonts w:ascii="Times New Roman" w:hAnsi="Times New Roman" w:eastAsia="宋体"/>
                <w:b/>
                <w:sz w:val="20"/>
              </w:rPr>
              <w:t>C4预期效果</w:t>
            </w:r>
          </w:p>
        </w:tc>
        <w:tc>
          <w:tcPr>
            <w:tcW w:type="dxa" w:w="1435"/>
            <w:tcBorders>
              <w:bottom w:val="single" w:sz="12" w:space="0" w:color="000000"/>
            </w:tcBorders>
          </w:tcPr>
          <w:p>
            <w:pPr>
              <w:jc w:val="center"/>
            </w:pPr>
            <w:r/>
            <w:r>
              <w:rPr>
                <w:rFonts w:ascii="Times New Roman" w:hAnsi="Times New Roman" w:eastAsia="宋体"/>
                <w:b/>
                <w:sz w:val="20"/>
              </w:rPr>
              <w:t>C5患者影响</w:t>
            </w:r>
          </w:p>
        </w:tc>
      </w:tr>
      <w:tr>
        <w:tc>
          <w:tcPr>
            <w:tcW w:type="dxa" w:w="1435"/>
          </w:tcPr>
          <w:p>
            <w:r/>
            <w:r>
              <w:rPr>
                <w:rFonts w:ascii="Times New Roman" w:hAnsi="Times New Roman" w:eastAsia="宋体"/>
                <w:sz w:val="20"/>
              </w:rPr>
              <w:t>C1影响程度</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4</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2</w:t>
            </w:r>
          </w:p>
        </w:tc>
      </w:tr>
      <w:tr>
        <w:tc>
          <w:tcPr>
            <w:tcW w:type="dxa" w:w="1435"/>
          </w:tcPr>
          <w:p>
            <w:r/>
            <w:r>
              <w:rPr>
                <w:rFonts w:ascii="Times New Roman" w:hAnsi="Times New Roman" w:eastAsia="宋体"/>
                <w:sz w:val="20"/>
              </w:rPr>
              <w:t>C2改造成本</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1/2</w:t>
            </w:r>
          </w:p>
        </w:tc>
      </w:tr>
      <w:tr>
        <w:tc>
          <w:tcPr>
            <w:tcW w:type="dxa" w:w="1435"/>
          </w:tcPr>
          <w:p>
            <w:r/>
            <w:r>
              <w:rPr>
                <w:rFonts w:ascii="Times New Roman" w:hAnsi="Times New Roman" w:eastAsia="宋体"/>
                <w:sz w:val="20"/>
              </w:rPr>
              <w:t>C3实施难度</w:t>
            </w:r>
          </w:p>
        </w:tc>
        <w:tc>
          <w:tcPr>
            <w:tcW w:type="dxa" w:w="1435"/>
          </w:tcPr>
          <w:p>
            <w:r/>
            <w:r>
              <w:rPr>
                <w:rFonts w:ascii="Times New Roman" w:hAnsi="Times New Roman" w:eastAsia="宋体"/>
                <w:sz w:val="20"/>
              </w:rPr>
              <w:t>1/4</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1/3</w:t>
            </w:r>
          </w:p>
        </w:tc>
      </w:tr>
      <w:tr>
        <w:tc>
          <w:tcPr>
            <w:tcW w:type="dxa" w:w="1435"/>
          </w:tcPr>
          <w:p>
            <w:r/>
            <w:r>
              <w:rPr>
                <w:rFonts w:ascii="Times New Roman" w:hAnsi="Times New Roman" w:eastAsia="宋体"/>
                <w:sz w:val="20"/>
              </w:rPr>
              <w:t>C4预期效果</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r>
        <w:tc>
          <w:tcPr>
            <w:tcW w:type="dxa" w:w="1435"/>
          </w:tcPr>
          <w:p>
            <w:r/>
            <w:r>
              <w:rPr>
                <w:rFonts w:ascii="Times New Roman" w:hAnsi="Times New Roman" w:eastAsia="宋体"/>
                <w:sz w:val="20"/>
              </w:rPr>
              <w:t>C5患者影响</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bl>
    <w:p/>
    <w:p>
      <w:pPr>
        <w:spacing w:line="400" w:lineRule="exact" w:before="0" w:after="0"/>
        <w:ind w:firstLine="480"/>
        <w:jc w:val="both"/>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pPr>
        <w:spacing w:line="240" w:lineRule="auto" w:before="240" w:after="120"/>
        <w:ind w:firstLine="480"/>
        <w:outlineLvl w:val="3"/>
      </w:pPr>
      <w:r>
        <w:rPr>
          <w:rFonts w:ascii="Times New Roman" w:hAnsi="Times New Roman" w:eastAsia="黑体"/>
          <w:b/>
          <w:sz w:val="24"/>
        </w:rPr>
        <w:t>（三）一致性检验方法</w:t>
      </w:r>
    </w:p>
    <w:p>
      <w:pPr>
        <w:spacing w:line="400" w:lineRule="exact" w:before="0" w:after="0"/>
        <w:ind w:firstLine="480"/>
        <w:jc w:val="both"/>
      </w:pPr>
      <w:r>
        <w:rPr>
          <w:rFonts w:ascii="Times New Roman" w:hAnsi="Times New Roman" w:eastAsia="宋体"/>
          <w:b w:val="0"/>
          <w:sz w:val="24"/>
        </w:rPr>
        <w:t>为保证两两比较赋值的逻辑一致性，需对各判断矩阵进行一致性检验，即计算一致性比率（Consistency Ratio，CR）。</w:t>
      </w:r>
    </w:p>
    <w:p>
      <w:pPr>
        <w:spacing w:line="400" w:lineRule="exact" w:before="0" w:after="0"/>
        <w:ind w:firstLine="480"/>
        <w:jc w:val="both"/>
      </w:pPr>
      <w:r>
        <w:rPr>
          <w:rFonts w:ascii="Times New Roman" w:hAnsi="Times New Roman" w:eastAsia="宋体"/>
          <w:b w:val="0"/>
          <w:sz w:val="24"/>
        </w:rPr>
        <w:t>CR = CI / RI，其中一致性指标CI = (λmax - n) / (n - 1)，λmax为判断矩阵的最大特征值，n为矩阵阶数，RI为平均随机一致性指标（n=5时，RI≈1.12）。CR &lt; 0.10时判断矩阵通过一致性检验，否则需修正矩阵中的赋值（Saaty，1980）。</w:t>
      </w:r>
    </w:p>
    <w:p>
      <w:pPr>
        <w:spacing w:line="240" w:lineRule="auto" w:before="240" w:after="120"/>
        <w:ind w:firstLine="480"/>
        <w:outlineLvl w:val="3"/>
      </w:pPr>
      <w:r>
        <w:rPr>
          <w:rFonts w:ascii="Times New Roman" w:hAnsi="Times New Roman" w:eastAsia="黑体"/>
          <w:b/>
          <w:sz w:val="24"/>
        </w:rPr>
        <w:t>（四）权重排序与优先级确定</w:t>
      </w:r>
    </w:p>
    <w:p>
      <w:pPr>
        <w:spacing w:line="400" w:lineRule="exact" w:before="0" w:after="0"/>
        <w:ind w:firstLine="480"/>
        <w:jc w:val="both"/>
      </w:pPr>
      <w:r>
        <w:rPr>
          <w:rFonts w:ascii="Times New Roman" w:hAnsi="Times New Roman" w:eastAsia="宋体"/>
          <w:b w:val="0"/>
          <w:sz w:val="24"/>
        </w:rPr>
        <w:t>通过一致性检验后，得到各准则的权重值，记为w1,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五章第二节的优化方案设计提供资源分配和推进顺序的决策依据。</w:t>
      </w:r>
    </w:p>
    <w:p>
      <w:pPr>
        <w:spacing w:line="240" w:lineRule="auto" w:before="480" w:after="120"/>
        <w:jc w:val="center"/>
        <w:outlineLvl w:val="1"/>
      </w:pPr>
      <w:r>
        <w:rPr>
          <w:rFonts w:ascii="Times New Roman" w:hAnsi="Times New Roman" w:eastAsia="黑体"/>
          <w:b/>
          <w:sz w:val="28"/>
        </w:rPr>
        <w:t>第二节　数据分析与流程诊断</w:t>
      </w:r>
    </w:p>
    <w:p>
      <w:pPr>
        <w:spacing w:line="400" w:lineRule="exact" w:before="0" w:after="0"/>
        <w:ind w:firstLine="480"/>
        <w:jc w:val="both"/>
      </w:pPr>
      <w:r>
        <w:rPr>
          <w:rFonts w:ascii="Times New Roman" w:hAnsi="Times New Roman" w:eastAsia="宋体"/>
          <w:b w:val="0"/>
          <w:sz w:val="24"/>
        </w:rPr>
        <w:t>本节基于A医药集团统一管理平台提取的1150万条事件日志数据，运用过程分析法进行流程发现和瓶颈诊断，为后续的优化方案设计提供定量依据。</w:t>
      </w:r>
    </w:p>
    <w:p>
      <w:pPr>
        <w:spacing w:line="240" w:lineRule="auto" w:before="240" w:after="120"/>
        <w:ind w:firstLine="520"/>
        <w:outlineLvl w:val="2"/>
      </w:pPr>
      <w:r>
        <w:rPr>
          <w:rFonts w:ascii="Times New Roman" w:hAnsi="Times New Roman" w:eastAsia="黑体"/>
          <w:b/>
          <w:sz w:val="26"/>
        </w:rPr>
        <w:t>一、事件日志数据概览</w:t>
      </w:r>
    </w:p>
    <w:p>
      <w:pPr>
        <w:spacing w:line="240" w:lineRule="auto" w:before="240" w:after="120"/>
        <w:ind w:firstLine="480"/>
        <w:outlineLvl w:val="3"/>
      </w:pPr>
      <w:r>
        <w:rPr>
          <w:rFonts w:ascii="Times New Roman" w:hAnsi="Times New Roman" w:eastAsia="黑体"/>
          <w:b/>
          <w:sz w:val="24"/>
        </w:rPr>
        <w:t>（一）数据总量与时间跨度</w:t>
      </w:r>
    </w:p>
    <w:p>
      <w:pPr>
        <w:spacing w:line="400" w:lineRule="exact" w:before="0" w:after="0"/>
        <w:ind w:firstLine="480"/>
        <w:jc w:val="both"/>
      </w:pPr>
      <w:r>
        <w:rPr>
          <w:rFonts w:ascii="Times New Roman" w:hAnsi="Times New Roman" w:eastAsia="宋体"/>
          <w:b w:val="0"/>
          <w:sz w:val="24"/>
        </w:rPr>
        <w:t>如表4.4所示，本研究所用数据集覆盖2022年6月至2026年5月（48个月），总计1150万条事件记录。年度分布一路上行：2022年下半年约40万条（月均约5.7万条），2023年约160万条（月均约13万条），2024年约300万条（月均约25万条），2025年约440万条（月均约37万条），2026年1-5月约210万条（月均约42万条），平台用户活跃度在持续提升。</w:t>
      </w:r>
    </w:p>
    <w:p>
      <w:pPr>
        <w:jc w:val="center"/>
      </w:pPr>
      <w:r>
        <w:drawing>
          <wp:inline xmlns:a="http://schemas.openxmlformats.org/drawingml/2006/main" xmlns:pic="http://schemas.openxmlformats.org/drawingml/2006/picture">
            <wp:extent cx="5040000" cy="2736982"/>
            <wp:docPr id="12" name="Picture 12"/>
            <wp:cNvGraphicFramePr>
              <a:graphicFrameLocks noChangeAspect="1"/>
            </wp:cNvGraphicFramePr>
            <a:graphic>
              <a:graphicData uri="http://schemas.openxmlformats.org/drawingml/2006/picture">
                <pic:pic>
                  <pic:nvPicPr>
                    <pic:cNvPr id="0" name="图4.2-事件日志数据概览.png"/>
                    <pic:cNvPicPr/>
                  </pic:nvPicPr>
                  <pic:blipFill>
                    <a:blip r:embed="rId22"/>
                    <a:stretch>
                      <a:fillRect/>
                    </a:stretch>
                  </pic:blipFill>
                  <pic:spPr>
                    <a:xfrm>
                      <a:off x="0" y="0"/>
                      <a:ext cx="5040000" cy="2736982"/>
                    </a:xfrm>
                    <a:prstGeom prst="rect"/>
                  </pic:spPr>
                </pic:pic>
              </a:graphicData>
            </a:graphic>
          </wp:inline>
        </w:drawing>
      </w:r>
    </w:p>
    <w:p>
      <w:pPr>
        <w:spacing w:line="240" w:lineRule="auto" w:before="120" w:after="240"/>
        <w:jc w:val="center"/>
      </w:pPr>
      <w:r>
        <w:rPr>
          <w:rFonts w:ascii="Times New Roman" w:hAnsi="Times New Roman" w:eastAsia="宋体"/>
          <w:b w:val="0"/>
          <w:sz w:val="21"/>
        </w:rPr>
        <w:t>图4.2　事件日志数据概览</w:t>
      </w:r>
    </w:p>
    <w:p>
      <w:pPr>
        <w:spacing w:line="240" w:lineRule="auto" w:before="120" w:after="120"/>
        <w:jc w:val="center"/>
      </w:pPr>
      <w:r>
        <w:rPr>
          <w:rFonts w:ascii="Times New Roman" w:hAnsi="Times New Roman" w:eastAsia="宋体"/>
          <w:b w:val="0"/>
          <w:sz w:val="21"/>
        </w:rPr>
        <w:t>表4.4　事件日志数据概览</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维度</w:t>
            </w:r>
          </w:p>
        </w:tc>
        <w:tc>
          <w:tcPr>
            <w:tcW w:type="dxa" w:w="2871"/>
            <w:tcBorders>
              <w:bottom w:val="single" w:sz="12" w:space="0" w:color="000000"/>
            </w:tcBorders>
          </w:tcPr>
          <w:p>
            <w:pPr>
              <w:jc w:val="center"/>
            </w:pPr>
            <w:r/>
            <w:r>
              <w:rPr>
                <w:rFonts w:ascii="Times New Roman" w:hAnsi="Times New Roman" w:eastAsia="宋体"/>
                <w:b/>
                <w:sz w:val="20"/>
              </w:rPr>
              <w:t>统计值</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总事件记录数</w:t>
            </w:r>
          </w:p>
        </w:tc>
        <w:tc>
          <w:tcPr>
            <w:tcW w:type="dxa" w:w="2871"/>
          </w:tcPr>
          <w:p>
            <w:r/>
            <w:r>
              <w:rPr>
                <w:rFonts w:ascii="Times New Roman" w:hAnsi="Times New Roman" w:eastAsia="宋体"/>
                <w:sz w:val="20"/>
              </w:rPr>
              <w:t>1150万条</w:t>
            </w:r>
          </w:p>
        </w:tc>
        <w:tc>
          <w:tcPr>
            <w:tcW w:type="dxa" w:w="2871"/>
          </w:tcPr>
          <w:p>
            <w:r/>
            <w:r>
              <w:rPr>
                <w:rFonts w:ascii="Times New Roman" w:hAnsi="Times New Roman" w:eastAsia="宋体"/>
                <w:sz w:val="20"/>
              </w:rPr>
              <w:t>覆盖2022.06-2026.05</w:t>
            </w:r>
          </w:p>
        </w:tc>
      </w:tr>
      <w:tr>
        <w:tc>
          <w:tcPr>
            <w:tcW w:type="dxa" w:w="2871"/>
          </w:tcPr>
          <w:p>
            <w:r/>
            <w:r>
              <w:rPr>
                <w:rFonts w:ascii="Times New Roman" w:hAnsi="Times New Roman" w:eastAsia="宋体"/>
                <w:sz w:val="20"/>
              </w:rPr>
              <w:t>唯一案例数</w:t>
            </w:r>
          </w:p>
        </w:tc>
        <w:tc>
          <w:tcPr>
            <w:tcW w:type="dxa" w:w="2871"/>
          </w:tcPr>
          <w:p>
            <w:r/>
            <w:r>
              <w:rPr>
                <w:rFonts w:ascii="Times New Roman" w:hAnsi="Times New Roman" w:eastAsia="宋体"/>
                <w:sz w:val="20"/>
              </w:rPr>
              <w:t>约150万个</w:t>
            </w:r>
          </w:p>
        </w:tc>
        <w:tc>
          <w:tcPr>
            <w:tcW w:type="dxa" w:w="2871"/>
          </w:tcPr>
          <w:p>
            <w:r/>
            <w:r>
              <w:rPr>
                <w:rFonts w:ascii="Times New Roman" w:hAnsi="Times New Roman" w:eastAsia="宋体"/>
                <w:sz w:val="20"/>
              </w:rPr>
              <w:t>即完成的就诊流程数</w:t>
            </w:r>
          </w:p>
        </w:tc>
      </w:tr>
      <w:tr>
        <w:tc>
          <w:tcPr>
            <w:tcW w:type="dxa" w:w="2871"/>
          </w:tcPr>
          <w:p>
            <w:r/>
            <w:r>
              <w:rPr>
                <w:rFonts w:ascii="Times New Roman" w:hAnsi="Times New Roman" w:eastAsia="宋体"/>
                <w:sz w:val="20"/>
              </w:rPr>
              <w:t>唯一事件类型数</w:t>
            </w:r>
          </w:p>
        </w:tc>
        <w:tc>
          <w:tcPr>
            <w:tcW w:type="dxa" w:w="2871"/>
          </w:tcPr>
          <w:p>
            <w:r/>
            <w:r>
              <w:rPr>
                <w:rFonts w:ascii="Times New Roman" w:hAnsi="Times New Roman" w:eastAsia="宋体"/>
                <w:sz w:val="20"/>
              </w:rPr>
              <w:t>12种</w:t>
            </w:r>
          </w:p>
        </w:tc>
        <w:tc>
          <w:tcPr>
            <w:tcW w:type="dxa" w:w="2871"/>
          </w:tcPr>
          <w:p>
            <w:r/>
            <w:r>
              <w:rPr>
                <w:rFonts w:ascii="Times New Roman" w:hAnsi="Times New Roman" w:eastAsia="宋体"/>
                <w:sz w:val="20"/>
              </w:rPr>
              <w:t>问诊/处方/检查申请/检查完成/取药等</w:t>
            </w:r>
          </w:p>
        </w:tc>
      </w:tr>
      <w:tr>
        <w:tc>
          <w:tcPr>
            <w:tcW w:type="dxa" w:w="2871"/>
          </w:tcPr>
          <w:p>
            <w:r/>
            <w:r>
              <w:rPr>
                <w:rFonts w:ascii="Times New Roman" w:hAnsi="Times New Roman" w:eastAsia="宋体"/>
                <w:sz w:val="20"/>
              </w:rPr>
              <w:t>覆盖院区数</w:t>
            </w:r>
          </w:p>
        </w:tc>
        <w:tc>
          <w:tcPr>
            <w:tcW w:type="dxa" w:w="2871"/>
          </w:tcPr>
          <w:p>
            <w:r/>
            <w:r>
              <w:rPr>
                <w:rFonts w:ascii="Times New Roman" w:hAnsi="Times New Roman" w:eastAsia="宋体"/>
                <w:sz w:val="20"/>
              </w:rPr>
              <w:t>5个</w:t>
            </w:r>
          </w:p>
        </w:tc>
        <w:tc>
          <w:tcPr>
            <w:tcW w:type="dxa" w:w="2871"/>
          </w:tcPr>
          <w:p>
            <w:r/>
            <w:r>
              <w:rPr>
                <w:rFonts w:ascii="Times New Roman" w:hAnsi="Times New Roman" w:eastAsia="宋体"/>
                <w:sz w:val="20"/>
              </w:rPr>
              <w:t>医院A/B/C/D/E</w:t>
            </w:r>
          </w:p>
        </w:tc>
      </w:tr>
      <w:tr>
        <w:tc>
          <w:tcPr>
            <w:tcW w:type="dxa" w:w="2871"/>
          </w:tcPr>
          <w:p>
            <w:r/>
            <w:r>
              <w:rPr>
                <w:rFonts w:ascii="Times New Roman" w:hAnsi="Times New Roman" w:eastAsia="宋体"/>
                <w:sz w:val="20"/>
              </w:rPr>
              <w:t>覆盖科室数</w:t>
            </w:r>
          </w:p>
        </w:tc>
        <w:tc>
          <w:tcPr>
            <w:tcW w:type="dxa" w:w="2871"/>
          </w:tcPr>
          <w:p>
            <w:r/>
            <w:r>
              <w:rPr>
                <w:rFonts w:ascii="Times New Roman" w:hAnsi="Times New Roman" w:eastAsia="宋体"/>
                <w:sz w:val="20"/>
              </w:rPr>
              <w:t>32个</w:t>
            </w:r>
          </w:p>
        </w:tc>
        <w:tc>
          <w:tcPr>
            <w:tcW w:type="dxa" w:w="2871"/>
          </w:tcPr>
          <w:p>
            <w:r/>
            <w:r>
              <w:rPr>
                <w:rFonts w:ascii="Times New Roman" w:hAnsi="Times New Roman" w:eastAsia="宋体"/>
                <w:sz w:val="20"/>
              </w:rPr>
              <w:t>全院上线科室</w:t>
            </w:r>
          </w:p>
        </w:tc>
      </w:tr>
      <w:tr>
        <w:tc>
          <w:tcPr>
            <w:tcW w:type="dxa" w:w="2871"/>
          </w:tcPr>
          <w:p>
            <w:r/>
            <w:r>
              <w:rPr>
                <w:rFonts w:ascii="Times New Roman" w:hAnsi="Times New Roman" w:eastAsia="宋体"/>
                <w:sz w:val="20"/>
              </w:rPr>
              <w:t>月均事件量</w:t>
            </w:r>
          </w:p>
        </w:tc>
        <w:tc>
          <w:tcPr>
            <w:tcW w:type="dxa" w:w="2871"/>
          </w:tcPr>
          <w:p>
            <w:r/>
            <w:r>
              <w:rPr>
                <w:rFonts w:ascii="Times New Roman" w:hAnsi="Times New Roman" w:eastAsia="宋体"/>
                <w:sz w:val="20"/>
              </w:rPr>
              <w:t>约24万条</w:t>
            </w:r>
          </w:p>
        </w:tc>
        <w:tc>
          <w:tcPr>
            <w:tcW w:type="dxa" w:w="2871"/>
          </w:tcPr>
          <w:p>
            <w:r/>
            <w:r>
              <w:rPr>
                <w:rFonts w:ascii="Times New Roman" w:hAnsi="Times New Roman" w:eastAsia="宋体"/>
                <w:sz w:val="20"/>
              </w:rPr>
              <w:t>2022年下半年月均5.7万→2026年月均42万</w:t>
            </w:r>
          </w:p>
        </w:tc>
      </w:tr>
    </w:tbl>
    <w:p/>
    <w:p>
      <w:pPr>
        <w:spacing w:line="240" w:lineRule="auto" w:before="240" w:after="120"/>
        <w:ind w:firstLine="480"/>
        <w:outlineLvl w:val="3"/>
      </w:pPr>
      <w:r>
        <w:rPr>
          <w:rFonts w:ascii="Times New Roman" w:hAnsi="Times New Roman" w:eastAsia="黑体"/>
          <w:b/>
          <w:sz w:val="24"/>
        </w:rPr>
        <w:t>（二）事件类型与院区分布</w:t>
      </w:r>
    </w:p>
    <w:p>
      <w:pPr>
        <w:spacing w:line="400" w:lineRule="exact" w:before="0" w:after="0"/>
        <w:ind w:firstLine="480"/>
        <w:jc w:val="both"/>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pPr>
        <w:spacing w:line="240" w:lineRule="auto" w:before="120" w:after="120"/>
        <w:jc w:val="center"/>
      </w:pPr>
      <w:r>
        <w:rPr>
          <w:rFonts w:ascii="Times New Roman" w:hAnsi="Times New Roman" w:eastAsia="宋体"/>
          <w:b w:val="0"/>
          <w:sz w:val="21"/>
        </w:rPr>
        <w:t>表4.5　事件类型分布</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事件类型</w:t>
            </w:r>
          </w:p>
        </w:tc>
        <w:tc>
          <w:tcPr>
            <w:tcW w:type="dxa" w:w="2871"/>
            <w:tcBorders>
              <w:bottom w:val="single" w:sz="12" w:space="0" w:color="000000"/>
            </w:tcBorders>
          </w:tcPr>
          <w:p>
            <w:pPr>
              <w:jc w:val="center"/>
            </w:pPr>
            <w:r/>
            <w:r>
              <w:rPr>
                <w:rFonts w:ascii="Times New Roman" w:hAnsi="Times New Roman" w:eastAsia="宋体"/>
                <w:b/>
                <w:sz w:val="20"/>
              </w:rPr>
              <w:t>记录数</w:t>
            </w:r>
          </w:p>
        </w:tc>
        <w:tc>
          <w:tcPr>
            <w:tcW w:type="dxa" w:w="2871"/>
            <w:tcBorders>
              <w:bottom w:val="single" w:sz="12" w:space="0" w:color="000000"/>
            </w:tcBorders>
          </w:tcPr>
          <w:p>
            <w:pPr>
              <w:jc w:val="center"/>
            </w:pPr>
            <w:r/>
            <w:r>
              <w:rPr>
                <w:rFonts w:ascii="Times New Roman" w:hAnsi="Times New Roman" w:eastAsia="宋体"/>
                <w:b/>
                <w:sz w:val="20"/>
              </w:rPr>
              <w:t>占比</w:t>
            </w:r>
          </w:p>
        </w:tc>
      </w:tr>
      <w:tr>
        <w:tc>
          <w:tcPr>
            <w:tcW w:type="dxa" w:w="2871"/>
          </w:tcPr>
          <w:p>
            <w:r/>
            <w:r>
              <w:rPr>
                <w:rFonts w:ascii="Times New Roman" w:hAnsi="Times New Roman" w:eastAsia="宋体"/>
                <w:sz w:val="20"/>
              </w:rPr>
              <w:t>问诊类</w:t>
            </w:r>
          </w:p>
        </w:tc>
        <w:tc>
          <w:tcPr>
            <w:tcW w:type="dxa" w:w="2871"/>
          </w:tcPr>
          <w:p>
            <w:r/>
            <w:r>
              <w:rPr>
                <w:rFonts w:ascii="Times New Roman" w:hAnsi="Times New Roman" w:eastAsia="宋体"/>
                <w:sz w:val="20"/>
              </w:rPr>
              <w:t>434.7万</w:t>
            </w:r>
          </w:p>
        </w:tc>
        <w:tc>
          <w:tcPr>
            <w:tcW w:type="dxa" w:w="2871"/>
          </w:tcPr>
          <w:p>
            <w:r/>
            <w:r>
              <w:rPr>
                <w:rFonts w:ascii="Times New Roman" w:hAnsi="Times New Roman" w:eastAsia="宋体"/>
                <w:sz w:val="20"/>
              </w:rPr>
              <w:t>37.8%</w:t>
            </w:r>
          </w:p>
        </w:tc>
      </w:tr>
      <w:tr>
        <w:tc>
          <w:tcPr>
            <w:tcW w:type="dxa" w:w="2871"/>
          </w:tcPr>
          <w:p>
            <w:r/>
            <w:r>
              <w:rPr>
                <w:rFonts w:ascii="Times New Roman" w:hAnsi="Times New Roman" w:eastAsia="宋体"/>
                <w:sz w:val="20"/>
              </w:rPr>
              <w:t>处方类</w:t>
            </w:r>
          </w:p>
        </w:tc>
        <w:tc>
          <w:tcPr>
            <w:tcW w:type="dxa" w:w="2871"/>
          </w:tcPr>
          <w:p>
            <w:r/>
            <w:r>
              <w:rPr>
                <w:rFonts w:ascii="Times New Roman" w:hAnsi="Times New Roman" w:eastAsia="宋体"/>
                <w:sz w:val="20"/>
              </w:rPr>
              <w:t>281.75万</w:t>
            </w:r>
          </w:p>
        </w:tc>
        <w:tc>
          <w:tcPr>
            <w:tcW w:type="dxa" w:w="2871"/>
          </w:tcPr>
          <w:p>
            <w:r/>
            <w:r>
              <w:rPr>
                <w:rFonts w:ascii="Times New Roman" w:hAnsi="Times New Roman" w:eastAsia="宋体"/>
                <w:sz w:val="20"/>
              </w:rPr>
              <w:t>24.5%</w:t>
            </w:r>
          </w:p>
        </w:tc>
      </w:tr>
      <w:tr>
        <w:tc>
          <w:tcPr>
            <w:tcW w:type="dxa" w:w="2871"/>
          </w:tcPr>
          <w:p>
            <w:r/>
            <w:r>
              <w:rPr>
                <w:rFonts w:ascii="Times New Roman" w:hAnsi="Times New Roman" w:eastAsia="宋体"/>
                <w:sz w:val="20"/>
              </w:rPr>
              <w:t>检查类</w:t>
            </w:r>
          </w:p>
        </w:tc>
        <w:tc>
          <w:tcPr>
            <w:tcW w:type="dxa" w:w="2871"/>
          </w:tcPr>
          <w:p>
            <w:r/>
            <w:r>
              <w:rPr>
                <w:rFonts w:ascii="Times New Roman" w:hAnsi="Times New Roman" w:eastAsia="宋体"/>
                <w:sz w:val="20"/>
              </w:rPr>
              <w:t>225.4万</w:t>
            </w:r>
          </w:p>
        </w:tc>
        <w:tc>
          <w:tcPr>
            <w:tcW w:type="dxa" w:w="2871"/>
          </w:tcPr>
          <w:p>
            <w:r/>
            <w:r>
              <w:rPr>
                <w:rFonts w:ascii="Times New Roman" w:hAnsi="Times New Roman" w:eastAsia="宋体"/>
                <w:sz w:val="20"/>
              </w:rPr>
              <w:t>19.6%</w:t>
            </w:r>
          </w:p>
        </w:tc>
      </w:tr>
      <w:tr>
        <w:tc>
          <w:tcPr>
            <w:tcW w:type="dxa" w:w="2871"/>
          </w:tcPr>
          <w:p>
            <w:r/>
            <w:r>
              <w:rPr>
                <w:rFonts w:ascii="Times New Roman" w:hAnsi="Times New Roman" w:eastAsia="宋体"/>
                <w:sz w:val="20"/>
              </w:rPr>
              <w:t>取药类</w:t>
            </w:r>
          </w:p>
        </w:tc>
        <w:tc>
          <w:tcPr>
            <w:tcW w:type="dxa" w:w="2871"/>
          </w:tcPr>
          <w:p>
            <w:r/>
            <w:r>
              <w:rPr>
                <w:rFonts w:ascii="Times New Roman" w:hAnsi="Times New Roman" w:eastAsia="宋体"/>
                <w:sz w:val="20"/>
              </w:rPr>
              <w:t>141.45万</w:t>
            </w:r>
          </w:p>
        </w:tc>
        <w:tc>
          <w:tcPr>
            <w:tcW w:type="dxa" w:w="2871"/>
          </w:tcPr>
          <w:p>
            <w:r/>
            <w:r>
              <w:rPr>
                <w:rFonts w:ascii="Times New Roman" w:hAnsi="Times New Roman" w:eastAsia="宋体"/>
                <w:sz w:val="20"/>
              </w:rPr>
              <w:t>12.3%</w:t>
            </w:r>
          </w:p>
        </w:tc>
      </w:tr>
      <w:tr>
        <w:tc>
          <w:tcPr>
            <w:tcW w:type="dxa" w:w="2871"/>
          </w:tcPr>
          <w:p>
            <w:r/>
            <w:r>
              <w:rPr>
                <w:rFonts w:ascii="Times New Roman" w:hAnsi="Times New Roman" w:eastAsia="宋体"/>
                <w:sz w:val="20"/>
              </w:rPr>
              <w:t>其他</w:t>
            </w:r>
          </w:p>
        </w:tc>
        <w:tc>
          <w:tcPr>
            <w:tcW w:type="dxa" w:w="2871"/>
          </w:tcPr>
          <w:p>
            <w:r/>
            <w:r>
              <w:rPr>
                <w:rFonts w:ascii="Times New Roman" w:hAnsi="Times New Roman" w:eastAsia="宋体"/>
                <w:sz w:val="20"/>
              </w:rPr>
              <w:t>66.7万</w:t>
            </w:r>
          </w:p>
        </w:tc>
        <w:tc>
          <w:tcPr>
            <w:tcW w:type="dxa" w:w="2871"/>
          </w:tcPr>
          <w:p>
            <w:r/>
            <w:r>
              <w:rPr>
                <w:rFonts w:ascii="Times New Roman" w:hAnsi="Times New Roman" w:eastAsia="宋体"/>
                <w:sz w:val="20"/>
              </w:rPr>
              <w:t>5.8%</w:t>
            </w:r>
          </w:p>
        </w:tc>
      </w:tr>
      <w:tr>
        <w:tc>
          <w:tcPr>
            <w:tcW w:type="dxa" w:w="2871"/>
          </w:tcPr>
          <w:p>
            <w:r/>
            <w:r>
              <w:rPr>
                <w:rFonts w:ascii="Times New Roman" w:hAnsi="Times New Roman" w:eastAsia="宋体"/>
                <w:sz w:val="20"/>
              </w:rPr>
              <w:t>合计</w:t>
            </w:r>
          </w:p>
        </w:tc>
        <w:tc>
          <w:tcPr>
            <w:tcW w:type="dxa" w:w="2871"/>
          </w:tcPr>
          <w:p>
            <w:r/>
            <w:r>
              <w:rPr>
                <w:rFonts w:ascii="Times New Roman" w:hAnsi="Times New Roman" w:eastAsia="宋体"/>
                <w:sz w:val="20"/>
              </w:rPr>
              <w:t>1150万</w:t>
            </w:r>
          </w:p>
        </w:tc>
        <w:tc>
          <w:tcPr>
            <w:tcW w:type="dxa" w:w="2871"/>
          </w:tcPr>
          <w:p>
            <w:r/>
            <w:r>
              <w:rPr>
                <w:rFonts w:ascii="Times New Roman" w:hAnsi="Times New Roman" w:eastAsia="宋体"/>
                <w:sz w:val="20"/>
              </w:rPr>
              <w:t>100%</w:t>
            </w:r>
          </w:p>
        </w:tc>
      </w:tr>
    </w:tbl>
    <w:p/>
    <w:p>
      <w:pPr>
        <w:spacing w:line="400" w:lineRule="exact" w:before="0" w:after="0"/>
        <w:ind w:firstLine="480"/>
        <w:jc w:val="both"/>
      </w:pPr>
      <w:r>
        <w:rPr>
          <w:rFonts w:ascii="Times New Roman" w:hAnsi="Times New Roman" w:eastAsia="宋体"/>
          <w:b w:val="0"/>
          <w:sz w:val="24"/>
        </w:rPr>
        <w:t>院区分布同样不均：医院A的事件量占比最高（45.2%），医院B（21.3%）、医院C（18.5%）紧随其后，医院D（9.2%）和医院E（5.8%）垫底（医院D、E于2024年接入，窗口期内占比自然偏低）。这一格局与各医院的体量和服务能力基本对应，但医院A一家占了接近一半，医院D和医院E合计约15%，说明平台服务在不同院区之间的渗透程度差距不小。</w:t>
      </w:r>
    </w:p>
    <w:p>
      <w:pPr>
        <w:spacing w:line="240" w:lineRule="auto" w:before="240" w:after="120"/>
        <w:ind w:firstLine="520"/>
        <w:outlineLvl w:val="2"/>
      </w:pPr>
      <w:r>
        <w:rPr>
          <w:rFonts w:ascii="Times New Roman" w:hAnsi="Times New Roman" w:eastAsia="黑体"/>
          <w:b/>
          <w:sz w:val="26"/>
        </w:rPr>
        <w:t>二、基于Process Mining的流程发现</w:t>
      </w:r>
    </w:p>
    <w:p>
      <w:pPr>
        <w:spacing w:line="240" w:lineRule="auto" w:before="240" w:after="120"/>
        <w:ind w:firstLine="480"/>
        <w:outlineLvl w:val="3"/>
      </w:pPr>
      <w:r>
        <w:rPr>
          <w:rFonts w:ascii="Times New Roman" w:hAnsi="Times New Roman" w:eastAsia="黑体"/>
          <w:b/>
          <w:sz w:val="24"/>
        </w:rPr>
        <w:t>（一）实际流程模型生成</w:t>
      </w:r>
    </w:p>
    <w:p>
      <w:pPr>
        <w:jc w:val="center"/>
      </w:pPr>
      <w:r>
        <w:drawing>
          <wp:inline xmlns:a="http://schemas.openxmlformats.org/drawingml/2006/main" xmlns:pic="http://schemas.openxmlformats.org/drawingml/2006/picture">
            <wp:extent cx="5040000" cy="4103325"/>
            <wp:docPr id="13" name="Picture 13"/>
            <wp:cNvGraphicFramePr>
              <a:graphicFrameLocks noChangeAspect="1"/>
            </wp:cNvGraphicFramePr>
            <a:graphic>
              <a:graphicData uri="http://schemas.openxmlformats.org/drawingml/2006/picture">
                <pic:pic>
                  <pic:nvPicPr>
                    <pic:cNvPr id="0" name="图4.3-流程发现图.png"/>
                    <pic:cNvPicPr/>
                  </pic:nvPicPr>
                  <pic:blipFill>
                    <a:blip r:embed="rId23"/>
                    <a:stretch>
                      <a:fillRect/>
                    </a:stretch>
                  </pic:blipFill>
                  <pic:spPr>
                    <a:xfrm>
                      <a:off x="0" y="0"/>
                      <a:ext cx="5040000" cy="4103325"/>
                    </a:xfrm>
                    <a:prstGeom prst="rect"/>
                  </pic:spPr>
                </pic:pic>
              </a:graphicData>
            </a:graphic>
          </wp:inline>
        </w:drawing>
      </w:r>
    </w:p>
    <w:p>
      <w:pPr>
        <w:spacing w:line="240" w:lineRule="auto" w:before="120" w:after="240"/>
        <w:jc w:val="center"/>
      </w:pPr>
      <w:r>
        <w:rPr>
          <w:rFonts w:ascii="Times New Roman" w:hAnsi="Times New Roman" w:eastAsia="宋体"/>
          <w:b w:val="0"/>
          <w:sz w:val="21"/>
        </w:rPr>
        <w:t>图4.3　流程发现模型</w:t>
      </w:r>
    </w:p>
    <w:p>
      <w:pPr>
        <w:spacing w:line="400" w:lineRule="exact" w:before="0" w:after="0"/>
        <w:ind w:firstLine="480"/>
        <w:jc w:val="both"/>
      </w:pPr>
      <w:r>
        <w:rPr>
          <w:rFonts w:ascii="Times New Roman" w:hAnsi="Times New Roman" w:eastAsia="宋体"/>
          <w:b w:val="0"/>
          <w:sz w:val="24"/>
        </w:rPr>
        <w:t>采用Inductive Miner算法对预处理后的事件日志进行流程发现，生成的流程模型展示了互联网医院核心服务链的实际运行路径。流程模型基于Petri网形式表达，包含以下主要节点：在线问诊申请→医生接诊→诊断/咨询→（处方开具→处方审核）→（检查申请→检查预约→检查完成→结果查看）→药品取药→服务结束。其中括号表示可选路径，即并非所有问诊都必然经过处方和检查环节。</w:t>
      </w:r>
    </w:p>
    <w:p>
      <w:pPr>
        <w:spacing w:line="400" w:lineRule="exact" w:before="0" w:after="0"/>
        <w:ind w:firstLine="480"/>
        <w:jc w:val="both"/>
      </w:pPr>
      <w:r>
        <w:rPr>
          <w:rFonts w:ascii="Times New Roman" w:hAnsi="Times New Roman" w:eastAsia="宋体"/>
          <w:b w:val="0"/>
          <w:sz w:val="24"/>
        </w:rPr>
        <w:t>流程发现的总体拟合度（Fitness）为0.93，表明所生成的流程模型能够解释93%的事件日志行为，模型质量良好。精确度（Precision）为0.78，表明模型允许的路径中有78%是实际被执行的，存在一定程度的“过度泛化”，这主要是由于少数低频异常路径的存在。</w:t>
      </w:r>
    </w:p>
    <w:p>
      <w:pPr>
        <w:spacing w:line="240" w:lineRule="auto" w:before="240" w:after="120"/>
        <w:ind w:firstLine="480"/>
        <w:outlineLvl w:val="3"/>
      </w:pPr>
      <w:r>
        <w:rPr>
          <w:rFonts w:ascii="Times New Roman" w:hAnsi="Times New Roman" w:eastAsia="黑体"/>
          <w:b/>
          <w:sz w:val="24"/>
        </w:rPr>
        <w:t>（二）高频路径分析</w:t>
      </w:r>
    </w:p>
    <w:p>
      <w:pPr>
        <w:jc w:val="center"/>
      </w:pPr>
      <w:r>
        <w:drawing>
          <wp:inline xmlns:a="http://schemas.openxmlformats.org/drawingml/2006/main" xmlns:pic="http://schemas.openxmlformats.org/drawingml/2006/picture">
            <wp:extent cx="5040000" cy="3491049"/>
            <wp:docPr id="14" name="Picture 14"/>
            <wp:cNvGraphicFramePr>
              <a:graphicFrameLocks noChangeAspect="1"/>
            </wp:cNvGraphicFramePr>
            <a:graphic>
              <a:graphicData uri="http://schemas.openxmlformats.org/drawingml/2006/picture">
                <pic:pic>
                  <pic:nvPicPr>
                    <pic:cNvPr id="0" name="图4.4-高频流程路径分布.png"/>
                    <pic:cNvPicPr/>
                  </pic:nvPicPr>
                  <pic:blipFill>
                    <a:blip r:embed="rId24"/>
                    <a:stretch>
                      <a:fillRect/>
                    </a:stretch>
                  </pic:blipFill>
                  <pic:spPr>
                    <a:xfrm>
                      <a:off x="0" y="0"/>
                      <a:ext cx="5040000" cy="3491049"/>
                    </a:xfrm>
                    <a:prstGeom prst="rect"/>
                  </pic:spPr>
                </pic:pic>
              </a:graphicData>
            </a:graphic>
          </wp:inline>
        </w:drawing>
      </w:r>
    </w:p>
    <w:p>
      <w:pPr>
        <w:spacing w:line="240" w:lineRule="auto" w:before="120" w:after="240"/>
        <w:jc w:val="center"/>
      </w:pPr>
      <w:r>
        <w:rPr>
          <w:rFonts w:ascii="Times New Roman" w:hAnsi="Times New Roman" w:eastAsia="宋体"/>
          <w:b w:val="0"/>
          <w:sz w:val="21"/>
        </w:rPr>
        <w:t>图4.4　高频流程路径分布</w:t>
      </w:r>
    </w:p>
    <w:p>
      <w:pPr>
        <w:spacing w:line="400" w:lineRule="exact" w:before="0" w:after="0"/>
        <w:ind w:firstLine="480"/>
        <w:jc w:val="both"/>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pPr>
        <w:spacing w:line="400" w:lineRule="exact" w:before="0" w:after="0"/>
        <w:ind w:firstLine="480"/>
        <w:jc w:val="both"/>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pPr>
        <w:spacing w:line="400" w:lineRule="exact" w:before="0" w:after="0"/>
        <w:ind w:firstLine="480"/>
        <w:jc w:val="both"/>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pPr>
        <w:spacing w:line="400" w:lineRule="exact" w:before="0" w:after="0"/>
        <w:ind w:firstLine="480"/>
        <w:jc w:val="both"/>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pPr>
        <w:spacing w:line="400" w:lineRule="exact" w:before="0" w:after="0"/>
        <w:ind w:firstLine="480"/>
        <w:jc w:val="both"/>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pPr>
        <w:spacing w:line="400" w:lineRule="exact" w:before="0" w:after="0"/>
        <w:ind w:firstLine="480"/>
        <w:jc w:val="both"/>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pPr>
        <w:spacing w:line="400" w:lineRule="exact" w:before="0" w:after="0"/>
        <w:ind w:firstLine="480"/>
        <w:jc w:val="both"/>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pPr>
        <w:spacing w:line="240" w:lineRule="auto" w:before="240" w:after="120"/>
        <w:ind w:firstLine="480"/>
        <w:outlineLvl w:val="3"/>
      </w:pPr>
      <w:r>
        <w:rPr>
          <w:rFonts w:ascii="Times New Roman" w:hAnsi="Times New Roman" w:eastAsia="黑体"/>
          <w:b/>
          <w:sz w:val="24"/>
        </w:rPr>
        <w:t>（三）异常变体识别</w:t>
      </w:r>
    </w:p>
    <w:p>
      <w:pPr>
        <w:spacing w:line="400" w:lineRule="exact" w:before="0" w:after="0"/>
        <w:ind w:firstLine="480"/>
        <w:jc w:val="both"/>
      </w:pPr>
      <w:r>
        <w:rPr>
          <w:rFonts w:ascii="Times New Roman" w:hAnsi="Times New Roman" w:eastAsia="宋体"/>
          <w:b w:val="0"/>
          <w:sz w:val="24"/>
        </w:rPr>
        <w:t>流程变体分析中，共识别出以下三类值得关注的异常变体，三类合计约占全部案例的9.5%，其余为正常路径与低频变体。</w:t>
      </w:r>
    </w:p>
    <w:p>
      <w:pPr>
        <w:spacing w:line="400" w:lineRule="exact" w:before="0" w:after="0"/>
        <w:ind w:firstLine="480"/>
        <w:jc w:val="both"/>
      </w:pPr>
      <w:r>
        <w:rPr>
          <w:rFonts w:ascii="Times New Roman" w:hAnsi="Times New Roman" w:eastAsia="宋体"/>
          <w:b w:val="0"/>
          <w:sz w:val="24"/>
        </w:rPr>
        <w:t>第一，“返工”型变体约占全部案例的3.1%，表现为患者在同一问诊流程中多次发起问诊申请，或处方被退回医生重新开具。返工多发生在两种场景：处方审核不通过（约占总处方量的4.5%被退回修改），以及患者补充问诊。</w:t>
      </w:r>
    </w:p>
    <w:p>
      <w:pPr>
        <w:spacing w:line="400" w:lineRule="exact" w:before="0" w:after="0"/>
        <w:ind w:firstLine="480"/>
        <w:jc w:val="both"/>
      </w:pPr>
      <w:r>
        <w:rPr>
          <w:rFonts w:ascii="Times New Roman" w:hAnsi="Times New Roman" w:eastAsia="宋体"/>
          <w:b w:val="0"/>
          <w:sz w:val="24"/>
        </w:rPr>
        <w:t>第二，“顺序颠倒”型变体约占1.8%，标志是取药事件发生在检查完成事件之前，主要表现为前述路径六（按事件时序严格判定口径统计）。可能的解释有两个：患者在等待检查期间先行取药；或者处方和检查分属不同的医疗需求，患者的操作顺序与推荐的临床路径不一致。无论哪种原因，这类变体都指向流程指引的不足。</w:t>
      </w:r>
    </w:p>
    <w:p>
      <w:pPr>
        <w:spacing w:line="400" w:lineRule="exact" w:before="0" w:after="0"/>
        <w:ind w:firstLine="480"/>
        <w:jc w:val="both"/>
      </w:pPr>
      <w:r>
        <w:rPr>
          <w:rFonts w:ascii="Times New Roman" w:hAnsi="Times New Roman" w:eastAsia="宋体"/>
          <w:b w:val="0"/>
          <w:sz w:val="24"/>
        </w:rPr>
        <w:t>第三，“长时间停滞”型变体占比最高，约4.6%，表现为案例在某一环节的停留时间显著超过正常范围，例如：处方审核超过2小时、检查预约超过3天，都属此类。停滞案例集中在2023年平台运营早期，2024年和2025年有所改善，但仍占总案例的3%-4%。</w:t>
      </w:r>
    </w:p>
    <w:p>
      <w:pPr>
        <w:spacing w:line="240" w:lineRule="auto" w:before="240" w:after="120"/>
        <w:ind w:firstLine="520"/>
        <w:outlineLvl w:val="2"/>
      </w:pPr>
      <w:r>
        <w:rPr>
          <w:rFonts w:ascii="Times New Roman" w:hAnsi="Times New Roman" w:eastAsia="黑体"/>
          <w:b/>
          <w:sz w:val="26"/>
        </w:rPr>
        <w:t>三、流程瓶颈定量分析</w:t>
      </w:r>
    </w:p>
    <w:p>
      <w:pPr>
        <w:spacing w:line="240" w:lineRule="auto" w:before="240" w:after="120"/>
        <w:ind w:firstLine="480"/>
        <w:outlineLvl w:val="3"/>
      </w:pPr>
      <w:r>
        <w:rPr>
          <w:rFonts w:ascii="Times New Roman" w:hAnsi="Times New Roman" w:eastAsia="黑体"/>
          <w:b/>
          <w:sz w:val="24"/>
        </w:rPr>
        <w:t>（一）各环节平均处理时间</w:t>
      </w:r>
    </w:p>
    <w:p>
      <w:pPr>
        <w:jc w:val="center"/>
      </w:pPr>
      <w:r>
        <w:drawing>
          <wp:inline xmlns:a="http://schemas.openxmlformats.org/drawingml/2006/main" xmlns:pic="http://schemas.openxmlformats.org/drawingml/2006/picture">
            <wp:extent cx="5040000" cy="2835805"/>
            <wp:docPr id="15" name="Picture 15"/>
            <wp:cNvGraphicFramePr>
              <a:graphicFrameLocks noChangeAspect="1"/>
            </wp:cNvGraphicFramePr>
            <a:graphic>
              <a:graphicData uri="http://schemas.openxmlformats.org/drawingml/2006/picture">
                <pic:pic>
                  <pic:nvPicPr>
                    <pic:cNvPr id="0" name="图4.5-各环节处理时间对比.png"/>
                    <pic:cNvPicPr/>
                  </pic:nvPicPr>
                  <pic:blipFill>
                    <a:blip r:embed="rId25"/>
                    <a:stretch>
                      <a:fillRect/>
                    </a:stretch>
                  </pic:blipFill>
                  <pic:spPr>
                    <a:xfrm>
                      <a:off x="0" y="0"/>
                      <a:ext cx="5040000" cy="2835805"/>
                    </a:xfrm>
                    <a:prstGeom prst="rect"/>
                  </pic:spPr>
                </pic:pic>
              </a:graphicData>
            </a:graphic>
          </wp:inline>
        </w:drawing>
      </w:r>
    </w:p>
    <w:p>
      <w:pPr>
        <w:spacing w:line="240" w:lineRule="auto" w:before="120" w:after="240"/>
        <w:jc w:val="center"/>
      </w:pPr>
      <w:r>
        <w:rPr>
          <w:rFonts w:ascii="Times New Roman" w:hAnsi="Times New Roman" w:eastAsia="宋体"/>
          <w:b w:val="0"/>
          <w:sz w:val="21"/>
        </w:rPr>
        <w:t>图4.5　各环节时间对比</w:t>
      </w:r>
    </w:p>
    <w:p>
      <w:pPr>
        <w:spacing w:line="400" w:lineRule="exact" w:before="0" w:after="0"/>
        <w:ind w:firstLine="480"/>
        <w:jc w:val="both"/>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pPr>
        <w:spacing w:line="240" w:lineRule="auto" w:before="120" w:after="120"/>
        <w:jc w:val="center"/>
      </w:pPr>
      <w:r>
        <w:rPr>
          <w:rFonts w:ascii="Times New Roman" w:hAnsi="Times New Roman" w:eastAsia="宋体"/>
          <w:b w:val="0"/>
          <w:sz w:val="21"/>
        </w:rPr>
        <w:t>表4.6　各环节平均处理时间与标准差</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环节</w:t>
            </w:r>
          </w:p>
        </w:tc>
        <w:tc>
          <w:tcPr>
            <w:tcW w:type="dxa" w:w="1722"/>
            <w:tcBorders>
              <w:bottom w:val="single" w:sz="12" w:space="0" w:color="000000"/>
            </w:tcBorders>
          </w:tcPr>
          <w:p>
            <w:pPr>
              <w:jc w:val="center"/>
            </w:pPr>
            <w:r/>
            <w:r>
              <w:rPr>
                <w:rFonts w:ascii="Times New Roman" w:hAnsi="Times New Roman" w:eastAsia="宋体"/>
                <w:b/>
                <w:sz w:val="20"/>
              </w:rPr>
              <w:t>平均处理时间</w:t>
            </w:r>
          </w:p>
        </w:tc>
        <w:tc>
          <w:tcPr>
            <w:tcW w:type="dxa" w:w="1722"/>
            <w:tcBorders>
              <w:bottom w:val="single" w:sz="12" w:space="0" w:color="000000"/>
            </w:tcBorders>
          </w:tcPr>
          <w:p>
            <w:pPr>
              <w:jc w:val="center"/>
            </w:pPr>
            <w:r/>
            <w:r>
              <w:rPr>
                <w:rFonts w:ascii="Times New Roman" w:hAnsi="Times New Roman" w:eastAsia="宋体"/>
                <w:b/>
                <w:sz w:val="20"/>
              </w:rPr>
              <w:t>标准差</w:t>
            </w:r>
          </w:p>
        </w:tc>
        <w:tc>
          <w:tcPr>
            <w:tcW w:type="dxa" w:w="1722"/>
            <w:tcBorders>
              <w:bottom w:val="single" w:sz="12" w:space="0" w:color="000000"/>
            </w:tcBorders>
          </w:tcPr>
          <w:p>
            <w:pPr>
              <w:jc w:val="center"/>
            </w:pPr>
            <w:r/>
            <w:r>
              <w:rPr>
                <w:rFonts w:ascii="Times New Roman" w:hAnsi="Times New Roman" w:eastAsia="宋体"/>
                <w:b/>
                <w:sz w:val="20"/>
              </w:rPr>
              <w:t>中位数</w:t>
            </w:r>
          </w:p>
        </w:tc>
        <w:tc>
          <w:tcPr>
            <w:tcW w:type="dxa" w:w="1722"/>
            <w:tcBorders>
              <w:bottom w:val="single" w:sz="12" w:space="0" w:color="000000"/>
            </w:tcBorders>
          </w:tcPr>
          <w:p>
            <w:pPr>
              <w:jc w:val="center"/>
            </w:pPr>
            <w:r/>
            <w:r>
              <w:rPr>
                <w:rFonts w:ascii="Times New Roman" w:hAnsi="Times New Roman" w:eastAsia="宋体"/>
                <w:b/>
                <w:sz w:val="20"/>
              </w:rPr>
              <w:t>P90</w:t>
            </w:r>
          </w:p>
        </w:tc>
      </w:tr>
      <w:tr>
        <w:tc>
          <w:tcPr>
            <w:tcW w:type="dxa" w:w="1722"/>
          </w:tcPr>
          <w:p>
            <w:r/>
            <w:r>
              <w:rPr>
                <w:rFonts w:ascii="Times New Roman" w:hAnsi="Times New Roman" w:eastAsia="宋体"/>
                <w:sz w:val="20"/>
              </w:rPr>
              <w:t>医生接诊</w:t>
            </w:r>
          </w:p>
        </w:tc>
        <w:tc>
          <w:tcPr>
            <w:tcW w:type="dxa" w:w="1722"/>
          </w:tcPr>
          <w:p>
            <w:r/>
            <w:r>
              <w:rPr>
                <w:rFonts w:ascii="Times New Roman" w:hAnsi="Times New Roman" w:eastAsia="宋体"/>
                <w:sz w:val="20"/>
              </w:rPr>
              <w:t>8.2分钟</w:t>
            </w:r>
          </w:p>
        </w:tc>
        <w:tc>
          <w:tcPr>
            <w:tcW w:type="dxa" w:w="1722"/>
          </w:tcPr>
          <w:p>
            <w:r/>
            <w:r>
              <w:rPr>
                <w:rFonts w:ascii="Times New Roman" w:hAnsi="Times New Roman" w:eastAsia="宋体"/>
                <w:sz w:val="20"/>
              </w:rPr>
              <w:t>12.5分钟</w:t>
            </w:r>
          </w:p>
        </w:tc>
        <w:tc>
          <w:tcPr>
            <w:tcW w:type="dxa" w:w="1722"/>
          </w:tcPr>
          <w:p>
            <w:r/>
            <w:r>
              <w:rPr>
                <w:rFonts w:ascii="Times New Roman" w:hAnsi="Times New Roman" w:eastAsia="宋体"/>
                <w:sz w:val="20"/>
              </w:rPr>
              <w:t>4.3分钟</w:t>
            </w:r>
          </w:p>
        </w:tc>
        <w:tc>
          <w:tcPr>
            <w:tcW w:type="dxa" w:w="1722"/>
          </w:tcPr>
          <w:p>
            <w:r/>
            <w:r>
              <w:rPr>
                <w:rFonts w:ascii="Times New Roman" w:hAnsi="Times New Roman" w:eastAsia="宋体"/>
                <w:sz w:val="20"/>
              </w:rPr>
              <w:t>18.2分钟</w:t>
            </w:r>
          </w:p>
        </w:tc>
      </w:tr>
      <w:tr>
        <w:tc>
          <w:tcPr>
            <w:tcW w:type="dxa" w:w="1722"/>
          </w:tcPr>
          <w:p>
            <w:r/>
            <w:r>
              <w:rPr>
                <w:rFonts w:ascii="Times New Roman" w:hAnsi="Times New Roman" w:eastAsia="宋体"/>
                <w:sz w:val="20"/>
              </w:rPr>
              <w:t>处方开具</w:t>
            </w:r>
          </w:p>
        </w:tc>
        <w:tc>
          <w:tcPr>
            <w:tcW w:type="dxa" w:w="1722"/>
          </w:tcPr>
          <w:p>
            <w:r/>
            <w:r>
              <w:rPr>
                <w:rFonts w:ascii="Times New Roman" w:hAnsi="Times New Roman" w:eastAsia="宋体"/>
                <w:sz w:val="20"/>
              </w:rPr>
              <w:t>3.5分钟</w:t>
            </w:r>
          </w:p>
        </w:tc>
        <w:tc>
          <w:tcPr>
            <w:tcW w:type="dxa" w:w="1722"/>
          </w:tcPr>
          <w:p>
            <w:r/>
            <w:r>
              <w:rPr>
                <w:rFonts w:ascii="Times New Roman" w:hAnsi="Times New Roman" w:eastAsia="宋体"/>
                <w:sz w:val="20"/>
              </w:rPr>
              <w:t>5.1分钟</w:t>
            </w:r>
          </w:p>
        </w:tc>
        <w:tc>
          <w:tcPr>
            <w:tcW w:type="dxa" w:w="1722"/>
          </w:tcPr>
          <w:p>
            <w:r/>
            <w:r>
              <w:rPr>
                <w:rFonts w:ascii="Times New Roman" w:hAnsi="Times New Roman" w:eastAsia="宋体"/>
                <w:sz w:val="20"/>
              </w:rPr>
              <w:t>2.1分钟</w:t>
            </w:r>
          </w:p>
        </w:tc>
        <w:tc>
          <w:tcPr>
            <w:tcW w:type="dxa" w:w="1722"/>
          </w:tcPr>
          <w:p>
            <w:r/>
            <w:r>
              <w:rPr>
                <w:rFonts w:ascii="Times New Roman" w:hAnsi="Times New Roman" w:eastAsia="宋体"/>
                <w:sz w:val="20"/>
              </w:rPr>
              <w:t>7.0分钟</w:t>
            </w:r>
          </w:p>
        </w:tc>
      </w:tr>
      <w:tr>
        <w:tc>
          <w:tcPr>
            <w:tcW w:type="dxa" w:w="1722"/>
          </w:tcPr>
          <w:p>
            <w:r/>
            <w:r>
              <w:rPr>
                <w:rFonts w:ascii="Times New Roman" w:hAnsi="Times New Roman" w:eastAsia="宋体"/>
                <w:sz w:val="20"/>
              </w:rPr>
              <w:t>处方审核</w:t>
            </w:r>
          </w:p>
        </w:tc>
        <w:tc>
          <w:tcPr>
            <w:tcW w:type="dxa" w:w="1722"/>
          </w:tcPr>
          <w:p>
            <w:r/>
            <w:r>
              <w:rPr>
                <w:rFonts w:ascii="Times New Roman" w:hAnsi="Times New Roman" w:eastAsia="宋体"/>
                <w:sz w:val="20"/>
              </w:rPr>
              <w:t>8.0分钟</w:t>
            </w:r>
          </w:p>
        </w:tc>
        <w:tc>
          <w:tcPr>
            <w:tcW w:type="dxa" w:w="1722"/>
          </w:tcPr>
          <w:p>
            <w:r/>
            <w:r>
              <w:rPr>
                <w:rFonts w:ascii="Times New Roman" w:hAnsi="Times New Roman" w:eastAsia="宋体"/>
                <w:sz w:val="20"/>
              </w:rPr>
              <w:t>15.3分钟</w:t>
            </w:r>
          </w:p>
        </w:tc>
        <w:tc>
          <w:tcPr>
            <w:tcW w:type="dxa" w:w="1722"/>
          </w:tcPr>
          <w:p>
            <w:r/>
            <w:r>
              <w:rPr>
                <w:rFonts w:ascii="Times New Roman" w:hAnsi="Times New Roman" w:eastAsia="宋体"/>
                <w:sz w:val="20"/>
              </w:rPr>
              <w:t>4.5分钟</w:t>
            </w:r>
          </w:p>
        </w:tc>
        <w:tc>
          <w:tcPr>
            <w:tcW w:type="dxa" w:w="1722"/>
          </w:tcPr>
          <w:p>
            <w:r/>
            <w:r>
              <w:rPr>
                <w:rFonts w:ascii="Times New Roman" w:hAnsi="Times New Roman" w:eastAsia="宋体"/>
                <w:sz w:val="20"/>
              </w:rPr>
              <w:t>19.8分钟</w:t>
            </w:r>
          </w:p>
        </w:tc>
      </w:tr>
      <w:tr>
        <w:tc>
          <w:tcPr>
            <w:tcW w:type="dxa" w:w="1722"/>
          </w:tcPr>
          <w:p>
            <w:r/>
            <w:r>
              <w:rPr>
                <w:rFonts w:ascii="Times New Roman" w:hAnsi="Times New Roman" w:eastAsia="宋体"/>
                <w:sz w:val="20"/>
              </w:rPr>
              <w:t>检查预约</w:t>
            </w:r>
          </w:p>
        </w:tc>
        <w:tc>
          <w:tcPr>
            <w:tcW w:type="dxa" w:w="1722"/>
          </w:tcPr>
          <w:p>
            <w:r/>
            <w:r>
              <w:rPr>
                <w:rFonts w:ascii="Times New Roman" w:hAnsi="Times New Roman" w:eastAsia="宋体"/>
                <w:sz w:val="20"/>
              </w:rPr>
              <w:t>2.4小时</w:t>
            </w:r>
          </w:p>
        </w:tc>
        <w:tc>
          <w:tcPr>
            <w:tcW w:type="dxa" w:w="1722"/>
          </w:tcPr>
          <w:p>
            <w:r/>
            <w:r>
              <w:rPr>
                <w:rFonts w:ascii="Times New Roman" w:hAnsi="Times New Roman" w:eastAsia="宋体"/>
                <w:sz w:val="20"/>
              </w:rPr>
              <w:t>5.6小时</w:t>
            </w:r>
          </w:p>
        </w:tc>
        <w:tc>
          <w:tcPr>
            <w:tcW w:type="dxa" w:w="1722"/>
          </w:tcPr>
          <w:p>
            <w:r/>
            <w:r>
              <w:rPr>
                <w:rFonts w:ascii="Times New Roman" w:hAnsi="Times New Roman" w:eastAsia="宋体"/>
                <w:sz w:val="20"/>
              </w:rPr>
              <w:t>0.8小时</w:t>
            </w:r>
          </w:p>
        </w:tc>
        <w:tc>
          <w:tcPr>
            <w:tcW w:type="dxa" w:w="1722"/>
          </w:tcPr>
          <w:p>
            <w:r/>
            <w:r>
              <w:rPr>
                <w:rFonts w:ascii="Times New Roman" w:hAnsi="Times New Roman" w:eastAsia="宋体"/>
                <w:sz w:val="20"/>
              </w:rPr>
              <w:t>6.2小时</w:t>
            </w:r>
          </w:p>
        </w:tc>
      </w:tr>
      <w:tr>
        <w:tc>
          <w:tcPr>
            <w:tcW w:type="dxa" w:w="1722"/>
          </w:tcPr>
          <w:p>
            <w:r/>
            <w:r>
              <w:rPr>
                <w:rFonts w:ascii="Times New Roman" w:hAnsi="Times New Roman" w:eastAsia="宋体"/>
                <w:sz w:val="20"/>
              </w:rPr>
              <w:t>检查完成</w:t>
            </w:r>
          </w:p>
        </w:tc>
        <w:tc>
          <w:tcPr>
            <w:tcW w:type="dxa" w:w="1722"/>
          </w:tcPr>
          <w:p>
            <w:r/>
            <w:r>
              <w:rPr>
                <w:rFonts w:ascii="Times New Roman" w:hAnsi="Times New Roman" w:eastAsia="宋体"/>
                <w:sz w:val="20"/>
              </w:rPr>
              <w:t>38.5小时</w:t>
            </w:r>
          </w:p>
        </w:tc>
        <w:tc>
          <w:tcPr>
            <w:tcW w:type="dxa" w:w="1722"/>
          </w:tcPr>
          <w:p>
            <w:r/>
            <w:r>
              <w:rPr>
                <w:rFonts w:ascii="Times New Roman" w:hAnsi="Times New Roman" w:eastAsia="宋体"/>
                <w:sz w:val="20"/>
              </w:rPr>
              <w:t>52.3小时</w:t>
            </w:r>
          </w:p>
        </w:tc>
        <w:tc>
          <w:tcPr>
            <w:tcW w:type="dxa" w:w="1722"/>
          </w:tcPr>
          <w:p>
            <w:r/>
            <w:r>
              <w:rPr>
                <w:rFonts w:ascii="Times New Roman" w:hAnsi="Times New Roman" w:eastAsia="宋体"/>
                <w:sz w:val="20"/>
              </w:rPr>
              <w:t>24.1小时</w:t>
            </w:r>
          </w:p>
        </w:tc>
        <w:tc>
          <w:tcPr>
            <w:tcW w:type="dxa" w:w="1722"/>
          </w:tcPr>
          <w:p>
            <w:r/>
            <w:r>
              <w:rPr>
                <w:rFonts w:ascii="Times New Roman" w:hAnsi="Times New Roman" w:eastAsia="宋体"/>
                <w:sz w:val="20"/>
              </w:rPr>
              <w:t>96.0小时</w:t>
            </w:r>
          </w:p>
        </w:tc>
      </w:tr>
      <w:tr>
        <w:tc>
          <w:tcPr>
            <w:tcW w:type="dxa" w:w="1722"/>
          </w:tcPr>
          <w:p>
            <w:r/>
            <w:r>
              <w:rPr>
                <w:rFonts w:ascii="Times New Roman" w:hAnsi="Times New Roman" w:eastAsia="宋体"/>
                <w:sz w:val="20"/>
              </w:rPr>
              <w:t>药品取药</w:t>
            </w:r>
          </w:p>
        </w:tc>
        <w:tc>
          <w:tcPr>
            <w:tcW w:type="dxa" w:w="1722"/>
          </w:tcPr>
          <w:p>
            <w:r/>
            <w:r>
              <w:rPr>
                <w:rFonts w:ascii="Times New Roman" w:hAnsi="Times New Roman" w:eastAsia="宋体"/>
                <w:sz w:val="20"/>
              </w:rPr>
              <w:t>15.3分钟</w:t>
            </w:r>
          </w:p>
        </w:tc>
        <w:tc>
          <w:tcPr>
            <w:tcW w:type="dxa" w:w="1722"/>
          </w:tcPr>
          <w:p>
            <w:r/>
            <w:r>
              <w:rPr>
                <w:rFonts w:ascii="Times New Roman" w:hAnsi="Times New Roman" w:eastAsia="宋体"/>
                <w:sz w:val="20"/>
              </w:rPr>
              <w:t>8.2分钟</w:t>
            </w:r>
          </w:p>
        </w:tc>
        <w:tc>
          <w:tcPr>
            <w:tcW w:type="dxa" w:w="1722"/>
          </w:tcPr>
          <w:p>
            <w:r/>
            <w:r>
              <w:rPr>
                <w:rFonts w:ascii="Times New Roman" w:hAnsi="Times New Roman" w:eastAsia="宋体"/>
                <w:sz w:val="20"/>
              </w:rPr>
              <w:t>12.1分钟</w:t>
            </w:r>
          </w:p>
        </w:tc>
        <w:tc>
          <w:tcPr>
            <w:tcW w:type="dxa" w:w="1722"/>
          </w:tcPr>
          <w:p>
            <w:r/>
            <w:r>
              <w:rPr>
                <w:rFonts w:ascii="Times New Roman" w:hAnsi="Times New Roman" w:eastAsia="宋体"/>
                <w:sz w:val="20"/>
              </w:rPr>
              <w:t>28.4分钟</w:t>
            </w:r>
          </w:p>
        </w:tc>
      </w:tr>
    </w:tbl>
    <w:p/>
    <w:p>
      <w:pPr>
        <w:spacing w:line="400" w:lineRule="exact" w:before="0" w:after="0"/>
        <w:ind w:firstLine="480"/>
        <w:jc w:val="both"/>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pPr>
        <w:spacing w:line="240" w:lineRule="auto" w:before="240" w:after="120"/>
        <w:ind w:firstLine="480"/>
        <w:outlineLvl w:val="3"/>
      </w:pPr>
      <w:r>
        <w:rPr>
          <w:rFonts w:ascii="Times New Roman" w:hAnsi="Times New Roman" w:eastAsia="黑体"/>
          <w:b/>
          <w:sz w:val="24"/>
        </w:rPr>
        <w:t>（二）等待时间分布</w:t>
      </w:r>
    </w:p>
    <w:p>
      <w:pPr>
        <w:spacing w:line="400" w:lineRule="exact" w:before="0" w:after="0"/>
        <w:ind w:firstLine="480"/>
        <w:jc w:val="both"/>
      </w:pPr>
      <w:r>
        <w:rPr>
          <w:rFonts w:ascii="Times New Roman" w:hAnsi="Times New Roman" w:eastAsia="宋体"/>
          <w:b w:val="0"/>
          <w:sz w:val="24"/>
        </w:rPr>
        <w:t>环节之间的等待时间是衡量流程衔接效率的关键指标。表4.7展示了主要环节间的平均等待时间。</w:t>
      </w:r>
    </w:p>
    <w:p>
      <w:pPr>
        <w:spacing w:line="240" w:lineRule="auto" w:before="120" w:after="120"/>
        <w:jc w:val="center"/>
      </w:pPr>
      <w:r>
        <w:rPr>
          <w:rFonts w:ascii="Times New Roman" w:hAnsi="Times New Roman" w:eastAsia="宋体"/>
          <w:b w:val="0"/>
          <w:sz w:val="21"/>
        </w:rPr>
        <w:t>表4.7　环节间平均等待时间</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等待环节</w:t>
            </w:r>
          </w:p>
        </w:tc>
        <w:tc>
          <w:tcPr>
            <w:tcW w:type="dxa" w:w="2153"/>
            <w:tcBorders>
              <w:bottom w:val="single" w:sz="12" w:space="0" w:color="000000"/>
            </w:tcBorders>
          </w:tcPr>
          <w:p>
            <w:pPr>
              <w:jc w:val="center"/>
            </w:pPr>
            <w:r/>
            <w:r>
              <w:rPr>
                <w:rFonts w:ascii="Times New Roman" w:hAnsi="Times New Roman" w:eastAsia="宋体"/>
                <w:b/>
                <w:sz w:val="20"/>
              </w:rPr>
              <w:t>平均等待时间</w:t>
            </w:r>
          </w:p>
        </w:tc>
        <w:tc>
          <w:tcPr>
            <w:tcW w:type="dxa" w:w="2153"/>
            <w:tcBorders>
              <w:bottom w:val="single" w:sz="12" w:space="0" w:color="000000"/>
            </w:tcBorders>
          </w:tcPr>
          <w:p>
            <w:pPr>
              <w:jc w:val="center"/>
            </w:pPr>
            <w:r/>
            <w:r>
              <w:rPr>
                <w:rFonts w:ascii="Times New Roman" w:hAnsi="Times New Roman" w:eastAsia="宋体"/>
                <w:b/>
                <w:sz w:val="20"/>
              </w:rPr>
              <w:t>P90</w:t>
            </w:r>
          </w:p>
        </w:tc>
        <w:tc>
          <w:tcPr>
            <w:tcW w:type="dxa" w:w="2153"/>
            <w:tcBorders>
              <w:bottom w:val="single" w:sz="12" w:space="0" w:color="000000"/>
            </w:tcBorders>
          </w:tcPr>
          <w:p>
            <w:pPr>
              <w:jc w:val="center"/>
            </w:pPr>
            <w:r/>
            <w:r>
              <w:rPr>
                <w:rFonts w:ascii="Times New Roman" w:hAnsi="Times New Roman" w:eastAsia="宋体"/>
                <w:b/>
                <w:sz w:val="20"/>
              </w:rPr>
              <w:t>说明</w:t>
            </w:r>
          </w:p>
        </w:tc>
      </w:tr>
      <w:tr>
        <w:tc>
          <w:tcPr>
            <w:tcW w:type="dxa" w:w="2153"/>
          </w:tcPr>
          <w:p>
            <w:r/>
            <w:r>
              <w:rPr>
                <w:rFonts w:ascii="Times New Roman" w:hAnsi="Times New Roman" w:eastAsia="宋体"/>
                <w:sz w:val="20"/>
              </w:rPr>
              <w:t>问诊申请→医生接诊</w:t>
            </w:r>
          </w:p>
        </w:tc>
        <w:tc>
          <w:tcPr>
            <w:tcW w:type="dxa" w:w="2153"/>
          </w:tcPr>
          <w:p>
            <w:r/>
            <w:r>
              <w:rPr>
                <w:rFonts w:ascii="Times New Roman" w:hAnsi="Times New Roman" w:eastAsia="宋体"/>
                <w:sz w:val="20"/>
              </w:rPr>
              <w:t>6.5分钟</w:t>
            </w:r>
          </w:p>
        </w:tc>
        <w:tc>
          <w:tcPr>
            <w:tcW w:type="dxa" w:w="2153"/>
          </w:tcPr>
          <w:p>
            <w:r/>
            <w:r>
              <w:rPr>
                <w:rFonts w:ascii="Times New Roman" w:hAnsi="Times New Roman" w:eastAsia="宋体"/>
                <w:sz w:val="20"/>
              </w:rPr>
              <w:t>15.2分钟</w:t>
            </w:r>
          </w:p>
        </w:tc>
        <w:tc>
          <w:tcPr>
            <w:tcW w:type="dxa" w:w="2153"/>
          </w:tcPr>
          <w:p>
            <w:r/>
            <w:r>
              <w:rPr>
                <w:rFonts w:ascii="Times New Roman" w:hAnsi="Times New Roman" w:eastAsia="宋体"/>
                <w:sz w:val="20"/>
              </w:rPr>
              <w:t>取决于医生排班和当前队列</w:t>
            </w:r>
          </w:p>
        </w:tc>
      </w:tr>
      <w:tr>
        <w:tc>
          <w:tcPr>
            <w:tcW w:type="dxa" w:w="2153"/>
          </w:tcPr>
          <w:p>
            <w:r/>
            <w:r>
              <w:rPr>
                <w:rFonts w:ascii="Times New Roman" w:hAnsi="Times New Roman" w:eastAsia="宋体"/>
                <w:sz w:val="20"/>
              </w:rPr>
              <w:t>处方开具→处方审核</w:t>
            </w:r>
          </w:p>
        </w:tc>
        <w:tc>
          <w:tcPr>
            <w:tcW w:type="dxa" w:w="2153"/>
          </w:tcPr>
          <w:p>
            <w:r/>
            <w:r>
              <w:rPr>
                <w:rFonts w:ascii="Times New Roman" w:hAnsi="Times New Roman" w:eastAsia="宋体"/>
                <w:sz w:val="20"/>
              </w:rPr>
              <w:t>2.3分钟</w:t>
            </w:r>
          </w:p>
        </w:tc>
        <w:tc>
          <w:tcPr>
            <w:tcW w:type="dxa" w:w="2153"/>
          </w:tcPr>
          <w:p>
            <w:r/>
            <w:r>
              <w:rPr>
                <w:rFonts w:ascii="Times New Roman" w:hAnsi="Times New Roman" w:eastAsia="宋体"/>
                <w:sz w:val="20"/>
              </w:rPr>
              <w:t>8.5分钟</w:t>
            </w:r>
          </w:p>
        </w:tc>
        <w:tc>
          <w:tcPr>
            <w:tcW w:type="dxa" w:w="2153"/>
          </w:tcPr>
          <w:p>
            <w:r/>
            <w:r>
              <w:rPr>
                <w:rFonts w:ascii="Times New Roman" w:hAnsi="Times New Roman" w:eastAsia="宋体"/>
                <w:sz w:val="20"/>
              </w:rPr>
              <w:t>处方提交到药师审核的间隔</w:t>
            </w:r>
          </w:p>
        </w:tc>
      </w:tr>
      <w:tr>
        <w:tc>
          <w:tcPr>
            <w:tcW w:type="dxa" w:w="2153"/>
          </w:tcPr>
          <w:p>
            <w:r/>
            <w:r>
              <w:rPr>
                <w:rFonts w:ascii="Times New Roman" w:hAnsi="Times New Roman" w:eastAsia="宋体"/>
                <w:sz w:val="20"/>
              </w:rPr>
              <w:t>审核通过→取药选择</w:t>
            </w:r>
          </w:p>
        </w:tc>
        <w:tc>
          <w:tcPr>
            <w:tcW w:type="dxa" w:w="2153"/>
          </w:tcPr>
          <w:p>
            <w:r/>
            <w:r>
              <w:rPr>
                <w:rFonts w:ascii="Times New Roman" w:hAnsi="Times New Roman" w:eastAsia="宋体"/>
                <w:sz w:val="20"/>
              </w:rPr>
              <w:t>5.1分钟</w:t>
            </w:r>
          </w:p>
        </w:tc>
        <w:tc>
          <w:tcPr>
            <w:tcW w:type="dxa" w:w="2153"/>
          </w:tcPr>
          <w:p>
            <w:r/>
            <w:r>
              <w:rPr>
                <w:rFonts w:ascii="Times New Roman" w:hAnsi="Times New Roman" w:eastAsia="宋体"/>
                <w:sz w:val="20"/>
              </w:rPr>
              <w:t>18.0分钟</w:t>
            </w:r>
          </w:p>
        </w:tc>
        <w:tc>
          <w:tcPr>
            <w:tcW w:type="dxa" w:w="2153"/>
          </w:tcPr>
          <w:p>
            <w:r/>
            <w:r>
              <w:rPr>
                <w:rFonts w:ascii="Times New Roman" w:hAnsi="Times New Roman" w:eastAsia="宋体"/>
                <w:sz w:val="20"/>
              </w:rPr>
              <w:t>患者做出取药决策的时间</w:t>
            </w:r>
          </w:p>
        </w:tc>
      </w:tr>
      <w:tr>
        <w:tc>
          <w:tcPr>
            <w:tcW w:type="dxa" w:w="2153"/>
          </w:tcPr>
          <w:p>
            <w:r/>
            <w:r>
              <w:rPr>
                <w:rFonts w:ascii="Times New Roman" w:hAnsi="Times New Roman" w:eastAsia="宋体"/>
                <w:sz w:val="20"/>
              </w:rPr>
              <w:t>检查申请→检查预约</w:t>
            </w:r>
          </w:p>
        </w:tc>
        <w:tc>
          <w:tcPr>
            <w:tcW w:type="dxa" w:w="2153"/>
          </w:tcPr>
          <w:p>
            <w:r/>
            <w:r>
              <w:rPr>
                <w:rFonts w:ascii="Times New Roman" w:hAnsi="Times New Roman" w:eastAsia="宋体"/>
                <w:sz w:val="20"/>
              </w:rPr>
              <w:t>2.4小时</w:t>
            </w:r>
          </w:p>
        </w:tc>
        <w:tc>
          <w:tcPr>
            <w:tcW w:type="dxa" w:w="2153"/>
          </w:tcPr>
          <w:p>
            <w:r/>
            <w:r>
              <w:rPr>
                <w:rFonts w:ascii="Times New Roman" w:hAnsi="Times New Roman" w:eastAsia="宋体"/>
                <w:sz w:val="20"/>
              </w:rPr>
              <w:t>6.2小时</w:t>
            </w:r>
          </w:p>
        </w:tc>
        <w:tc>
          <w:tcPr>
            <w:tcW w:type="dxa" w:w="2153"/>
          </w:tcPr>
          <w:p>
            <w:r/>
            <w:r>
              <w:rPr>
                <w:rFonts w:ascii="Times New Roman" w:hAnsi="Times New Roman" w:eastAsia="宋体"/>
                <w:sz w:val="20"/>
              </w:rPr>
              <w:t>患者在线预约检查时段</w:t>
            </w:r>
          </w:p>
        </w:tc>
      </w:tr>
      <w:tr>
        <w:tc>
          <w:tcPr>
            <w:tcW w:type="dxa" w:w="2153"/>
          </w:tcPr>
          <w:p>
            <w:r/>
            <w:r>
              <w:rPr>
                <w:rFonts w:ascii="Times New Roman" w:hAnsi="Times New Roman" w:eastAsia="宋体"/>
                <w:sz w:val="20"/>
              </w:rPr>
              <w:t>检查完成→报告查看</w:t>
            </w:r>
          </w:p>
        </w:tc>
        <w:tc>
          <w:tcPr>
            <w:tcW w:type="dxa" w:w="2153"/>
          </w:tcPr>
          <w:p>
            <w:r/>
            <w:r>
              <w:rPr>
                <w:rFonts w:ascii="Times New Roman" w:hAnsi="Times New Roman" w:eastAsia="宋体"/>
                <w:sz w:val="20"/>
              </w:rPr>
              <w:t>3.8小时</w:t>
            </w:r>
          </w:p>
        </w:tc>
        <w:tc>
          <w:tcPr>
            <w:tcW w:type="dxa" w:w="2153"/>
          </w:tcPr>
          <w:p>
            <w:r/>
            <w:r>
              <w:rPr>
                <w:rFonts w:ascii="Times New Roman" w:hAnsi="Times New Roman" w:eastAsia="宋体"/>
                <w:sz w:val="20"/>
              </w:rPr>
              <w:t>12.5小时</w:t>
            </w:r>
          </w:p>
        </w:tc>
        <w:tc>
          <w:tcPr>
            <w:tcW w:type="dxa" w:w="2153"/>
          </w:tcPr>
          <w:p>
            <w:r/>
            <w:r>
              <w:rPr>
                <w:rFonts w:ascii="Times New Roman" w:hAnsi="Times New Roman" w:eastAsia="宋体"/>
                <w:sz w:val="20"/>
              </w:rPr>
              <w:t>报告审核上传到患者查看</w:t>
            </w:r>
          </w:p>
        </w:tc>
      </w:tr>
    </w:tbl>
    <w:p/>
    <w:p>
      <w:pPr>
        <w:spacing w:line="400" w:lineRule="exact" w:before="0" w:after="0"/>
        <w:ind w:firstLine="480"/>
        <w:jc w:val="both"/>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pPr>
        <w:spacing w:line="240" w:lineRule="auto" w:before="240" w:after="120"/>
        <w:ind w:firstLine="480"/>
        <w:outlineLvl w:val="3"/>
      </w:pPr>
      <w:r>
        <w:rPr>
          <w:rFonts w:ascii="Times New Roman" w:hAnsi="Times New Roman" w:eastAsia="黑体"/>
          <w:b/>
          <w:sz w:val="24"/>
        </w:rPr>
        <w:t>（三）流转次数与返工率</w:t>
      </w:r>
    </w:p>
    <w:p>
      <w:pPr>
        <w:spacing w:line="400" w:lineRule="exact" w:before="0" w:after="0"/>
        <w:ind w:firstLine="480"/>
        <w:jc w:val="both"/>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pPr>
        <w:spacing w:line="240" w:lineRule="auto" w:before="480" w:after="120"/>
        <w:jc w:val="center"/>
        <w:outlineLvl w:val="1"/>
      </w:pPr>
      <w:r>
        <w:rPr>
          <w:rFonts w:ascii="Times New Roman" w:hAnsi="Times New Roman" w:eastAsia="黑体"/>
          <w:b/>
          <w:sz w:val="28"/>
        </w:rPr>
        <w:t>第三节　基于AHP的瓶颈优先级评价</w:t>
      </w:r>
    </w:p>
    <w:p>
      <w:pPr>
        <w:spacing w:line="240" w:lineRule="auto" w:before="240" w:after="120"/>
        <w:ind w:firstLine="520"/>
        <w:outlineLvl w:val="2"/>
      </w:pPr>
      <w:r>
        <w:rPr>
          <w:rFonts w:ascii="Times New Roman" w:hAnsi="Times New Roman" w:eastAsia="黑体"/>
          <w:b/>
          <w:sz w:val="26"/>
        </w:rPr>
        <w:t>一、判断矩阵构建</w:t>
      </w:r>
    </w:p>
    <w:p>
      <w:pPr>
        <w:jc w:val="center"/>
      </w:pPr>
      <w:r>
        <w:drawing>
          <wp:inline xmlns:a="http://schemas.openxmlformats.org/drawingml/2006/main" xmlns:pic="http://schemas.openxmlformats.org/drawingml/2006/picture">
            <wp:extent cx="5040000" cy="3239693"/>
            <wp:docPr id="16" name="Picture 16"/>
            <wp:cNvGraphicFramePr>
              <a:graphicFrameLocks noChangeAspect="1"/>
            </wp:cNvGraphicFramePr>
            <a:graphic>
              <a:graphicData uri="http://schemas.openxmlformats.org/drawingml/2006/picture">
                <pic:pic>
                  <pic:nvPicPr>
                    <pic:cNvPr id="0" name="图4.6-AHP层次结构.png"/>
                    <pic:cNvPicPr/>
                  </pic:nvPicPr>
                  <pic:blipFill>
                    <a:blip r:embed="rId26"/>
                    <a:stretch>
                      <a:fillRect/>
                    </a:stretch>
                  </pic:blipFill>
                  <pic:spPr>
                    <a:xfrm>
                      <a:off x="0" y="0"/>
                      <a:ext cx="5040000" cy="3239693"/>
                    </a:xfrm>
                    <a:prstGeom prst="rect"/>
                  </pic:spPr>
                </pic:pic>
              </a:graphicData>
            </a:graphic>
          </wp:inline>
        </w:drawing>
      </w:r>
    </w:p>
    <w:p>
      <w:pPr>
        <w:spacing w:line="240" w:lineRule="auto" w:before="120" w:after="240"/>
        <w:jc w:val="center"/>
      </w:pPr>
      <w:r>
        <w:rPr>
          <w:rFonts w:ascii="Times New Roman" w:hAnsi="Times New Roman" w:eastAsia="宋体"/>
          <w:b w:val="0"/>
          <w:sz w:val="21"/>
        </w:rPr>
        <w:t>图4.6　AHP层次结构</w:t>
      </w:r>
    </w:p>
    <w:p>
      <w:pPr>
        <w:spacing w:line="400" w:lineRule="exact" w:before="0" w:after="0"/>
        <w:ind w:firstLine="480"/>
        <w:jc w:val="both"/>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pPr>
        <w:spacing w:line="400" w:lineRule="exact" w:before="0" w:after="0"/>
        <w:ind w:firstLine="480"/>
        <w:jc w:val="both"/>
      </w:pPr>
      <w:r>
        <w:rPr>
          <w:rFonts w:ascii="Times New Roman" w:hAnsi="Times New Roman" w:eastAsia="宋体"/>
          <w:b w:val="0"/>
          <w:sz w:val="24"/>
        </w:rPr>
        <w:t>首先构建准则层判断矩阵，该矩阵反映了五个评价准则之间的相对重要性。</w:t>
      </w:r>
    </w:p>
    <w:p>
      <w:pPr>
        <w:spacing w:line="240" w:lineRule="auto" w:before="120" w:after="120"/>
        <w:jc w:val="center"/>
      </w:pPr>
      <w:r>
        <w:rPr>
          <w:rFonts w:ascii="Times New Roman" w:hAnsi="Times New Roman" w:eastAsia="宋体"/>
          <w:b w:val="0"/>
          <w:sz w:val="21"/>
        </w:rPr>
        <w:t>表4.8　准则层判断矩阵</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准则</w:t>
            </w:r>
          </w:p>
        </w:tc>
        <w:tc>
          <w:tcPr>
            <w:tcW w:type="dxa" w:w="1435"/>
            <w:tcBorders>
              <w:bottom w:val="single" w:sz="12" w:space="0" w:color="000000"/>
            </w:tcBorders>
          </w:tcPr>
          <w:p>
            <w:pPr>
              <w:jc w:val="center"/>
            </w:pPr>
            <w:r/>
            <w:r>
              <w:rPr>
                <w:rFonts w:ascii="Times New Roman" w:hAnsi="Times New Roman" w:eastAsia="宋体"/>
                <w:b/>
                <w:sz w:val="20"/>
              </w:rPr>
              <w:t>C1影响程度</w:t>
            </w:r>
          </w:p>
        </w:tc>
        <w:tc>
          <w:tcPr>
            <w:tcW w:type="dxa" w:w="1435"/>
            <w:tcBorders>
              <w:bottom w:val="single" w:sz="12" w:space="0" w:color="000000"/>
            </w:tcBorders>
          </w:tcPr>
          <w:p>
            <w:pPr>
              <w:jc w:val="center"/>
            </w:pPr>
            <w:r/>
            <w:r>
              <w:rPr>
                <w:rFonts w:ascii="Times New Roman" w:hAnsi="Times New Roman" w:eastAsia="宋体"/>
                <w:b/>
                <w:sz w:val="20"/>
              </w:rPr>
              <w:t>C2改造成本</w:t>
            </w:r>
          </w:p>
        </w:tc>
        <w:tc>
          <w:tcPr>
            <w:tcW w:type="dxa" w:w="1435"/>
            <w:tcBorders>
              <w:bottom w:val="single" w:sz="12" w:space="0" w:color="000000"/>
            </w:tcBorders>
          </w:tcPr>
          <w:p>
            <w:pPr>
              <w:jc w:val="center"/>
            </w:pPr>
            <w:r/>
            <w:r>
              <w:rPr>
                <w:rFonts w:ascii="Times New Roman" w:hAnsi="Times New Roman" w:eastAsia="宋体"/>
                <w:b/>
                <w:sz w:val="20"/>
              </w:rPr>
              <w:t>C3实施难度</w:t>
            </w:r>
          </w:p>
        </w:tc>
        <w:tc>
          <w:tcPr>
            <w:tcW w:type="dxa" w:w="1435"/>
            <w:tcBorders>
              <w:bottom w:val="single" w:sz="12" w:space="0" w:color="000000"/>
            </w:tcBorders>
          </w:tcPr>
          <w:p>
            <w:pPr>
              <w:jc w:val="center"/>
            </w:pPr>
            <w:r/>
            <w:r>
              <w:rPr>
                <w:rFonts w:ascii="Times New Roman" w:hAnsi="Times New Roman" w:eastAsia="宋体"/>
                <w:b/>
                <w:sz w:val="20"/>
              </w:rPr>
              <w:t>C4预期效果</w:t>
            </w:r>
          </w:p>
        </w:tc>
        <w:tc>
          <w:tcPr>
            <w:tcW w:type="dxa" w:w="1435"/>
            <w:tcBorders>
              <w:bottom w:val="single" w:sz="12" w:space="0" w:color="000000"/>
            </w:tcBorders>
          </w:tcPr>
          <w:p>
            <w:pPr>
              <w:jc w:val="center"/>
            </w:pPr>
            <w:r/>
            <w:r>
              <w:rPr>
                <w:rFonts w:ascii="Times New Roman" w:hAnsi="Times New Roman" w:eastAsia="宋体"/>
                <w:b/>
                <w:sz w:val="20"/>
              </w:rPr>
              <w:t>C5患者影响</w:t>
            </w:r>
          </w:p>
        </w:tc>
      </w:tr>
      <w:tr>
        <w:tc>
          <w:tcPr>
            <w:tcW w:type="dxa" w:w="1435"/>
          </w:tcPr>
          <w:p>
            <w:r/>
            <w:r>
              <w:rPr>
                <w:rFonts w:ascii="Times New Roman" w:hAnsi="Times New Roman" w:eastAsia="宋体"/>
                <w:sz w:val="20"/>
              </w:rPr>
              <w:t>C1影响程度</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4</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2</w:t>
            </w:r>
          </w:p>
        </w:tc>
      </w:tr>
      <w:tr>
        <w:tc>
          <w:tcPr>
            <w:tcW w:type="dxa" w:w="1435"/>
          </w:tcPr>
          <w:p>
            <w:r/>
            <w:r>
              <w:rPr>
                <w:rFonts w:ascii="Times New Roman" w:hAnsi="Times New Roman" w:eastAsia="宋体"/>
                <w:sz w:val="20"/>
              </w:rPr>
              <w:t>C2改造成本</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1/2</w:t>
            </w:r>
          </w:p>
        </w:tc>
      </w:tr>
      <w:tr>
        <w:tc>
          <w:tcPr>
            <w:tcW w:type="dxa" w:w="1435"/>
          </w:tcPr>
          <w:p>
            <w:r/>
            <w:r>
              <w:rPr>
                <w:rFonts w:ascii="Times New Roman" w:hAnsi="Times New Roman" w:eastAsia="宋体"/>
                <w:sz w:val="20"/>
              </w:rPr>
              <w:t>C3实施难度</w:t>
            </w:r>
          </w:p>
        </w:tc>
        <w:tc>
          <w:tcPr>
            <w:tcW w:type="dxa" w:w="1435"/>
          </w:tcPr>
          <w:p>
            <w:r/>
            <w:r>
              <w:rPr>
                <w:rFonts w:ascii="Times New Roman" w:hAnsi="Times New Roman" w:eastAsia="宋体"/>
                <w:sz w:val="20"/>
              </w:rPr>
              <w:t>1/4</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1/3</w:t>
            </w:r>
          </w:p>
        </w:tc>
      </w:tr>
      <w:tr>
        <w:tc>
          <w:tcPr>
            <w:tcW w:type="dxa" w:w="1435"/>
          </w:tcPr>
          <w:p>
            <w:r/>
            <w:r>
              <w:rPr>
                <w:rFonts w:ascii="Times New Roman" w:hAnsi="Times New Roman" w:eastAsia="宋体"/>
                <w:sz w:val="20"/>
              </w:rPr>
              <w:t>C4预期效果</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r>
        <w:tc>
          <w:tcPr>
            <w:tcW w:type="dxa" w:w="1435"/>
          </w:tcPr>
          <w:p>
            <w:r/>
            <w:r>
              <w:rPr>
                <w:rFonts w:ascii="Times New Roman" w:hAnsi="Times New Roman" w:eastAsia="宋体"/>
                <w:sz w:val="20"/>
              </w:rPr>
              <w:t>C5患者影响</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bl>
    <w:p/>
    <w:p>
      <w:pPr>
        <w:spacing w:line="240" w:lineRule="auto" w:before="240" w:after="120"/>
        <w:ind w:firstLine="520"/>
        <w:outlineLvl w:val="2"/>
      </w:pPr>
      <w:r>
        <w:rPr>
          <w:rFonts w:ascii="Times New Roman" w:hAnsi="Times New Roman" w:eastAsia="黑体"/>
          <w:b/>
          <w:sz w:val="26"/>
        </w:rPr>
        <w:t>二、权重计算与一致性检验</w:t>
      </w:r>
    </w:p>
    <w:p>
      <w:pPr>
        <w:spacing w:line="400" w:lineRule="exact" w:before="0" w:after="0"/>
        <w:ind w:firstLine="480"/>
        <w:jc w:val="both"/>
      </w:pPr>
      <w:r>
        <w:rPr>
          <w:rFonts w:ascii="Times New Roman" w:hAnsi="Times New Roman" w:eastAsia="宋体"/>
          <w:b w:val="0"/>
          <w:sz w:val="24"/>
        </w:rPr>
        <w:t>对判断矩阵进行特征向量计算，得到各准则的权重向量。</w:t>
      </w:r>
    </w:p>
    <w:p>
      <w:pPr>
        <w:spacing w:line="400" w:lineRule="exact" w:before="0" w:after="0"/>
        <w:ind w:firstLine="480"/>
        <w:jc w:val="both"/>
      </w:pPr>
      <w:r>
        <w:rPr>
          <w:rFonts w:ascii="Times New Roman" w:hAnsi="Times New Roman" w:eastAsia="宋体"/>
          <w:b w:val="0"/>
          <w:sz w:val="24"/>
        </w:rPr>
        <w:t>首先算出判断矩阵每一列的列和，用矩阵元素除以所在列的列和，得到归一化矩阵；再对归一化矩阵的每一行求平均值，即为该行对应准则的权重。</w:t>
      </w:r>
    </w:p>
    <w:p>
      <w:pPr>
        <w:spacing w:line="240" w:lineRule="auto" w:before="120" w:after="120"/>
        <w:jc w:val="center"/>
      </w:pPr>
      <w:r>
        <w:rPr>
          <w:rFonts w:ascii="Times New Roman" w:hAnsi="Times New Roman" w:eastAsia="宋体"/>
          <w:b w:val="0"/>
          <w:sz w:val="21"/>
        </w:rPr>
        <w:t>表4.9　准则权重计算结果</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准则</w:t>
            </w:r>
          </w:p>
        </w:tc>
        <w:tc>
          <w:tcPr>
            <w:tcW w:type="dxa" w:w="2871"/>
            <w:tcBorders>
              <w:bottom w:val="single" w:sz="12" w:space="0" w:color="000000"/>
            </w:tcBorders>
          </w:tcPr>
          <w:p>
            <w:pPr>
              <w:jc w:val="center"/>
            </w:pPr>
            <w:r/>
            <w:r>
              <w:rPr>
                <w:rFonts w:ascii="Times New Roman" w:hAnsi="Times New Roman" w:eastAsia="宋体"/>
                <w:b/>
                <w:sz w:val="20"/>
              </w:rPr>
              <w:t>权重（w）</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C1 影响程度</w:t>
            </w:r>
          </w:p>
        </w:tc>
        <w:tc>
          <w:tcPr>
            <w:tcW w:type="dxa" w:w="2871"/>
          </w:tcPr>
          <w:p>
            <w:r/>
            <w:r>
              <w:rPr>
                <w:rFonts w:ascii="Times New Roman" w:hAnsi="Times New Roman" w:eastAsia="宋体"/>
                <w:sz w:val="20"/>
              </w:rPr>
              <w:t>0.367</w:t>
            </w:r>
          </w:p>
        </w:tc>
        <w:tc>
          <w:tcPr>
            <w:tcW w:type="dxa" w:w="2871"/>
          </w:tcPr>
          <w:p>
            <w:r/>
            <w:r>
              <w:rPr>
                <w:rFonts w:ascii="Times New Roman" w:hAnsi="Times New Roman" w:eastAsia="宋体"/>
                <w:sz w:val="20"/>
              </w:rPr>
              <w:t>瓶颈对整体流程的影响大小</w:t>
            </w:r>
          </w:p>
        </w:tc>
      </w:tr>
      <w:tr>
        <w:tc>
          <w:tcPr>
            <w:tcW w:type="dxa" w:w="2871"/>
          </w:tcPr>
          <w:p>
            <w:r/>
            <w:r>
              <w:rPr>
                <w:rFonts w:ascii="Times New Roman" w:hAnsi="Times New Roman" w:eastAsia="宋体"/>
                <w:sz w:val="20"/>
              </w:rPr>
              <w:t>C2 改造成本</w:t>
            </w:r>
          </w:p>
        </w:tc>
        <w:tc>
          <w:tcPr>
            <w:tcW w:type="dxa" w:w="2871"/>
          </w:tcPr>
          <w:p>
            <w:r/>
            <w:r>
              <w:rPr>
                <w:rFonts w:ascii="Times New Roman" w:hAnsi="Times New Roman" w:eastAsia="宋体"/>
                <w:sz w:val="20"/>
              </w:rPr>
              <w:t>0.109</w:t>
            </w:r>
          </w:p>
        </w:tc>
        <w:tc>
          <w:tcPr>
            <w:tcW w:type="dxa" w:w="2871"/>
          </w:tcPr>
          <w:p>
            <w:r/>
            <w:r>
              <w:rPr>
                <w:rFonts w:ascii="Times New Roman" w:hAnsi="Times New Roman" w:eastAsia="宋体"/>
                <w:sz w:val="20"/>
              </w:rPr>
              <w:t>改进所需资源投入</w:t>
            </w:r>
          </w:p>
        </w:tc>
      </w:tr>
      <w:tr>
        <w:tc>
          <w:tcPr>
            <w:tcW w:type="dxa" w:w="2871"/>
          </w:tcPr>
          <w:p>
            <w:r/>
            <w:r>
              <w:rPr>
                <w:rFonts w:ascii="Times New Roman" w:hAnsi="Times New Roman" w:eastAsia="宋体"/>
                <w:sz w:val="20"/>
              </w:rPr>
              <w:t>C3 实施难度</w:t>
            </w:r>
          </w:p>
        </w:tc>
        <w:tc>
          <w:tcPr>
            <w:tcW w:type="dxa" w:w="2871"/>
          </w:tcPr>
          <w:p>
            <w:r/>
            <w:r>
              <w:rPr>
                <w:rFonts w:ascii="Times New Roman" w:hAnsi="Times New Roman" w:eastAsia="宋体"/>
                <w:sz w:val="20"/>
              </w:rPr>
              <w:t>0.068</w:t>
            </w:r>
          </w:p>
        </w:tc>
        <w:tc>
          <w:tcPr>
            <w:tcW w:type="dxa" w:w="2871"/>
          </w:tcPr>
          <w:p>
            <w:r/>
            <w:r>
              <w:rPr>
                <w:rFonts w:ascii="Times New Roman" w:hAnsi="Times New Roman" w:eastAsia="宋体"/>
                <w:sz w:val="20"/>
              </w:rPr>
              <w:t>技术复杂度和协调难度</w:t>
            </w:r>
          </w:p>
        </w:tc>
      </w:tr>
      <w:tr>
        <w:tc>
          <w:tcPr>
            <w:tcW w:type="dxa" w:w="2871"/>
          </w:tcPr>
          <w:p>
            <w:r/>
            <w:r>
              <w:rPr>
                <w:rFonts w:ascii="Times New Roman" w:hAnsi="Times New Roman" w:eastAsia="宋体"/>
                <w:sz w:val="20"/>
              </w:rPr>
              <w:t>C4 预期效果</w:t>
            </w:r>
          </w:p>
        </w:tc>
        <w:tc>
          <w:tcPr>
            <w:tcW w:type="dxa" w:w="2871"/>
          </w:tcPr>
          <w:p>
            <w:r/>
            <w:r>
              <w:rPr>
                <w:rFonts w:ascii="Times New Roman" w:hAnsi="Times New Roman" w:eastAsia="宋体"/>
                <w:sz w:val="20"/>
              </w:rPr>
              <w:t>0.228</w:t>
            </w:r>
          </w:p>
        </w:tc>
        <w:tc>
          <w:tcPr>
            <w:tcW w:type="dxa" w:w="2871"/>
          </w:tcPr>
          <w:p>
            <w:r/>
            <w:r>
              <w:rPr>
                <w:rFonts w:ascii="Times New Roman" w:hAnsi="Times New Roman" w:eastAsia="宋体"/>
                <w:sz w:val="20"/>
              </w:rPr>
              <w:t>改进后的效率提升幅度</w:t>
            </w:r>
          </w:p>
        </w:tc>
      </w:tr>
      <w:tr>
        <w:tc>
          <w:tcPr>
            <w:tcW w:type="dxa" w:w="2871"/>
          </w:tcPr>
          <w:p>
            <w:r/>
            <w:r>
              <w:rPr>
                <w:rFonts w:ascii="Times New Roman" w:hAnsi="Times New Roman" w:eastAsia="宋体"/>
                <w:sz w:val="20"/>
              </w:rPr>
              <w:t>C5 患者影响</w:t>
            </w:r>
          </w:p>
        </w:tc>
        <w:tc>
          <w:tcPr>
            <w:tcW w:type="dxa" w:w="2871"/>
          </w:tcPr>
          <w:p>
            <w:r/>
            <w:r>
              <w:rPr>
                <w:rFonts w:ascii="Times New Roman" w:hAnsi="Times New Roman" w:eastAsia="宋体"/>
                <w:sz w:val="20"/>
              </w:rPr>
              <w:t>0.228</w:t>
            </w:r>
          </w:p>
        </w:tc>
        <w:tc>
          <w:tcPr>
            <w:tcW w:type="dxa" w:w="2871"/>
          </w:tcPr>
          <w:p>
            <w:r/>
            <w:r>
              <w:rPr>
                <w:rFonts w:ascii="Times New Roman" w:hAnsi="Times New Roman" w:eastAsia="宋体"/>
                <w:sz w:val="20"/>
              </w:rPr>
              <w:t>患者体验的改善程度</w:t>
            </w:r>
          </w:p>
        </w:tc>
      </w:tr>
      <w:tr>
        <w:tc>
          <w:tcPr>
            <w:tcW w:type="dxa" w:w="2871"/>
          </w:tcPr>
          <w:p>
            <w:r/>
            <w:r>
              <w:rPr>
                <w:rFonts w:ascii="Times New Roman" w:hAnsi="Times New Roman" w:eastAsia="宋体"/>
                <w:sz w:val="20"/>
              </w:rPr>
              <w:t>合计</w:t>
            </w:r>
          </w:p>
        </w:tc>
        <w:tc>
          <w:tcPr>
            <w:tcW w:type="dxa" w:w="2871"/>
          </w:tcPr>
          <w:p>
            <w:r/>
            <w:r>
              <w:rPr>
                <w:rFonts w:ascii="Times New Roman" w:hAnsi="Times New Roman" w:eastAsia="宋体"/>
                <w:sz w:val="20"/>
              </w:rPr>
              <w:t>1.000</w:t>
            </w:r>
          </w:p>
        </w:tc>
        <w:tc>
          <w:tcPr>
            <w:tcW w:type="dxa" w:w="2871"/>
          </w:tcPr>
          <w:p>
            <w:r/>
            <w:r>
              <w:rPr>
                <w:rFonts w:ascii="Times New Roman" w:hAnsi="Times New Roman" w:eastAsia="宋体"/>
                <w:sz w:val="20"/>
              </w:rPr>
              <w:t>-</w:t>
            </w:r>
          </w:p>
        </w:tc>
      </w:tr>
    </w:tbl>
    <w:p/>
    <w:p>
      <w:pPr>
        <w:spacing w:line="400" w:lineRule="exact" w:before="0" w:after="0"/>
        <w:ind w:firstLine="480"/>
        <w:jc w:val="both"/>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pPr>
        <w:spacing w:line="240" w:lineRule="auto" w:before="240" w:after="120"/>
        <w:ind w:firstLine="520"/>
        <w:outlineLvl w:val="2"/>
      </w:pPr>
      <w:r>
        <w:rPr>
          <w:rFonts w:ascii="Times New Roman" w:hAnsi="Times New Roman" w:eastAsia="黑体"/>
          <w:b/>
          <w:sz w:val="26"/>
        </w:rPr>
        <w:t>三、瓶颈环节排序与优先改进领域</w:t>
      </w:r>
    </w:p>
    <w:p>
      <w:pPr>
        <w:spacing w:line="400" w:lineRule="exact" w:before="0" w:after="0"/>
        <w:ind w:firstLine="480"/>
        <w:jc w:val="both"/>
      </w:pPr>
      <w:r>
        <w:rPr>
          <w:rFonts w:ascii="Times New Roman" w:hAnsi="Times New Roman" w:eastAsia="宋体"/>
          <w:b w:val="0"/>
          <w:sz w:val="24"/>
        </w:rPr>
        <w:t>对第二节中识别出的六个主要瓶颈环节，在各准则下分别构建方案层判断矩阵。判断矩阵由集团运营管理部、医务部和数字管理部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pPr>
        <w:spacing w:line="240" w:lineRule="auto" w:before="120" w:after="120"/>
        <w:jc w:val="center"/>
      </w:pPr>
      <w:r>
        <w:rPr>
          <w:rFonts w:ascii="Times New Roman" w:hAnsi="Times New Roman" w:eastAsia="宋体"/>
          <w:b w:val="0"/>
          <w:sz w:val="21"/>
        </w:rPr>
        <w:t>表4.10　瓶颈环节AHP综合排序（含准则层得分）</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957"/>
        <w:gridCol w:w="957"/>
        <w:gridCol w:w="957"/>
        <w:gridCol w:w="957"/>
        <w:gridCol w:w="957"/>
        <w:gridCol w:w="957"/>
        <w:gridCol w:w="957"/>
        <w:gridCol w:w="957"/>
        <w:gridCol w:w="957"/>
      </w:tblGrid>
      <w:tr>
        <w:tc>
          <w:tcPr>
            <w:tcW w:type="dxa" w:w="957"/>
            <w:tcBorders>
              <w:bottom w:val="single" w:sz="12" w:space="0" w:color="000000"/>
            </w:tcBorders>
          </w:tcPr>
          <w:p>
            <w:pPr>
              <w:jc w:val="center"/>
            </w:pPr>
            <w:r/>
            <w:r>
              <w:rPr>
                <w:rFonts w:ascii="Times New Roman" w:hAnsi="Times New Roman" w:eastAsia="宋体"/>
                <w:b/>
                <w:sz w:val="20"/>
              </w:rPr>
              <w:t>排名</w:t>
            </w:r>
          </w:p>
        </w:tc>
        <w:tc>
          <w:tcPr>
            <w:tcW w:type="dxa" w:w="957"/>
            <w:tcBorders>
              <w:bottom w:val="single" w:sz="12" w:space="0" w:color="000000"/>
            </w:tcBorders>
          </w:tcPr>
          <w:p>
            <w:pPr>
              <w:jc w:val="center"/>
            </w:pPr>
            <w:r/>
            <w:r>
              <w:rPr>
                <w:rFonts w:ascii="Times New Roman" w:hAnsi="Times New Roman" w:eastAsia="宋体"/>
                <w:b/>
                <w:sz w:val="20"/>
              </w:rPr>
              <w:t>瓶颈环节</w:t>
            </w:r>
          </w:p>
        </w:tc>
        <w:tc>
          <w:tcPr>
            <w:tcW w:type="dxa" w:w="957"/>
            <w:tcBorders>
              <w:bottom w:val="single" w:sz="12" w:space="0" w:color="000000"/>
            </w:tcBorders>
          </w:tcPr>
          <w:p>
            <w:pPr>
              <w:jc w:val="center"/>
            </w:pPr>
            <w:r/>
            <w:r>
              <w:rPr>
                <w:rFonts w:ascii="Times New Roman" w:hAnsi="Times New Roman" w:eastAsia="宋体"/>
                <w:b/>
                <w:sz w:val="20"/>
              </w:rPr>
              <w:t>C1影响程度</w:t>
            </w:r>
          </w:p>
        </w:tc>
        <w:tc>
          <w:tcPr>
            <w:tcW w:type="dxa" w:w="957"/>
            <w:tcBorders>
              <w:bottom w:val="single" w:sz="12" w:space="0" w:color="000000"/>
            </w:tcBorders>
          </w:tcPr>
          <w:p>
            <w:pPr>
              <w:jc w:val="center"/>
            </w:pPr>
            <w:r/>
            <w:r>
              <w:rPr>
                <w:rFonts w:ascii="Times New Roman" w:hAnsi="Times New Roman" w:eastAsia="宋体"/>
                <w:b/>
                <w:sz w:val="20"/>
              </w:rPr>
              <w:t>C2改造成本</w:t>
            </w:r>
          </w:p>
        </w:tc>
        <w:tc>
          <w:tcPr>
            <w:tcW w:type="dxa" w:w="957"/>
            <w:tcBorders>
              <w:bottom w:val="single" w:sz="12" w:space="0" w:color="000000"/>
            </w:tcBorders>
          </w:tcPr>
          <w:p>
            <w:pPr>
              <w:jc w:val="center"/>
            </w:pPr>
            <w:r/>
            <w:r>
              <w:rPr>
                <w:rFonts w:ascii="Times New Roman" w:hAnsi="Times New Roman" w:eastAsia="宋体"/>
                <w:b/>
                <w:sz w:val="20"/>
              </w:rPr>
              <w:t>C3实施难度</w:t>
            </w:r>
          </w:p>
        </w:tc>
        <w:tc>
          <w:tcPr>
            <w:tcW w:type="dxa" w:w="957"/>
            <w:tcBorders>
              <w:bottom w:val="single" w:sz="12" w:space="0" w:color="000000"/>
            </w:tcBorders>
          </w:tcPr>
          <w:p>
            <w:pPr>
              <w:jc w:val="center"/>
            </w:pPr>
            <w:r/>
            <w:r>
              <w:rPr>
                <w:rFonts w:ascii="Times New Roman" w:hAnsi="Times New Roman" w:eastAsia="宋体"/>
                <w:b/>
                <w:sz w:val="20"/>
              </w:rPr>
              <w:t>C4预期效果</w:t>
            </w:r>
          </w:p>
        </w:tc>
        <w:tc>
          <w:tcPr>
            <w:tcW w:type="dxa" w:w="957"/>
            <w:tcBorders>
              <w:bottom w:val="single" w:sz="12" w:space="0" w:color="000000"/>
            </w:tcBorders>
          </w:tcPr>
          <w:p>
            <w:pPr>
              <w:jc w:val="center"/>
            </w:pPr>
            <w:r/>
            <w:r>
              <w:rPr>
                <w:rFonts w:ascii="Times New Roman" w:hAnsi="Times New Roman" w:eastAsia="宋体"/>
                <w:b/>
                <w:sz w:val="20"/>
              </w:rPr>
              <w:t>C5患者影响</w:t>
            </w:r>
          </w:p>
        </w:tc>
        <w:tc>
          <w:tcPr>
            <w:tcW w:type="dxa" w:w="957"/>
            <w:tcBorders>
              <w:bottom w:val="single" w:sz="12" w:space="0" w:color="000000"/>
            </w:tcBorders>
          </w:tcPr>
          <w:p>
            <w:pPr>
              <w:jc w:val="center"/>
            </w:pPr>
            <w:r/>
            <w:r>
              <w:rPr>
                <w:rFonts w:ascii="Times New Roman" w:hAnsi="Times New Roman" w:eastAsia="宋体"/>
                <w:b/>
                <w:sz w:val="20"/>
              </w:rPr>
              <w:t>综合得分</w:t>
            </w:r>
          </w:p>
        </w:tc>
        <w:tc>
          <w:tcPr>
            <w:tcW w:type="dxa" w:w="957"/>
            <w:tcBorders>
              <w:bottom w:val="single" w:sz="12" w:space="0" w:color="000000"/>
            </w:tcBorders>
          </w:tcPr>
          <w:p>
            <w:pPr>
              <w:jc w:val="center"/>
            </w:pPr>
            <w:r/>
            <w:r>
              <w:rPr>
                <w:rFonts w:ascii="Times New Roman" w:hAnsi="Times New Roman" w:eastAsia="宋体"/>
                <w:b/>
                <w:sz w:val="20"/>
              </w:rPr>
              <w:t>关键影响维度</w:t>
            </w:r>
          </w:p>
        </w:tc>
      </w:tr>
      <w:tr>
        <w:tc>
          <w:tcPr>
            <w:tcW w:type="dxa" w:w="957"/>
          </w:tcPr>
          <w:p>
            <w:r/>
            <w:r>
              <w:rPr>
                <w:rFonts w:ascii="Times New Roman" w:hAnsi="Times New Roman" w:eastAsia="宋体"/>
                <w:sz w:val="20"/>
              </w:rPr>
              <w:t>1</w:t>
            </w:r>
          </w:p>
        </w:tc>
        <w:tc>
          <w:tcPr>
            <w:tcW w:type="dxa" w:w="957"/>
          </w:tcPr>
          <w:p>
            <w:r/>
            <w:r>
              <w:rPr>
                <w:rFonts w:ascii="Times New Roman" w:hAnsi="Times New Roman" w:eastAsia="宋体"/>
                <w:sz w:val="20"/>
              </w:rPr>
              <w:t>B1 处方→线下检查衔接断点</w:t>
            </w:r>
          </w:p>
        </w:tc>
        <w:tc>
          <w:tcPr>
            <w:tcW w:type="dxa" w:w="957"/>
          </w:tcPr>
          <w:p>
            <w:r/>
            <w:r>
              <w:rPr>
                <w:rFonts w:ascii="Times New Roman" w:hAnsi="Times New Roman" w:eastAsia="宋体"/>
                <w:sz w:val="20"/>
              </w:rPr>
              <w:t>0.267</w:t>
            </w:r>
          </w:p>
        </w:tc>
        <w:tc>
          <w:tcPr>
            <w:tcW w:type="dxa" w:w="957"/>
          </w:tcPr>
          <w:p>
            <w:r/>
            <w:r>
              <w:rPr>
                <w:rFonts w:ascii="Times New Roman" w:hAnsi="Times New Roman" w:eastAsia="宋体"/>
                <w:sz w:val="20"/>
              </w:rPr>
              <w:t>0.082</w:t>
            </w:r>
          </w:p>
        </w:tc>
        <w:tc>
          <w:tcPr>
            <w:tcW w:type="dxa" w:w="957"/>
          </w:tcPr>
          <w:p>
            <w:r/>
            <w:r>
              <w:rPr>
                <w:rFonts w:ascii="Times New Roman" w:hAnsi="Times New Roman" w:eastAsia="宋体"/>
                <w:sz w:val="20"/>
              </w:rPr>
              <w:t>0.098</w:t>
            </w:r>
          </w:p>
        </w:tc>
        <w:tc>
          <w:tcPr>
            <w:tcW w:type="dxa" w:w="957"/>
          </w:tcPr>
          <w:p>
            <w:r/>
            <w:r>
              <w:rPr>
                <w:rFonts w:ascii="Times New Roman" w:hAnsi="Times New Roman" w:eastAsia="宋体"/>
                <w:sz w:val="20"/>
              </w:rPr>
              <w:t>0.281</w:t>
            </w:r>
          </w:p>
        </w:tc>
        <w:tc>
          <w:tcPr>
            <w:tcW w:type="dxa" w:w="957"/>
          </w:tcPr>
          <w:p>
            <w:r/>
            <w:r>
              <w:rPr>
                <w:rFonts w:ascii="Times New Roman" w:hAnsi="Times New Roman" w:eastAsia="宋体"/>
                <w:sz w:val="20"/>
              </w:rPr>
              <w:t>0.164</w:t>
            </w:r>
          </w:p>
        </w:tc>
        <w:tc>
          <w:tcPr>
            <w:tcW w:type="dxa" w:w="957"/>
          </w:tcPr>
          <w:p>
            <w:r/>
            <w:r>
              <w:rPr>
                <w:rFonts w:ascii="Times New Roman" w:hAnsi="Times New Roman" w:eastAsia="宋体"/>
                <w:sz w:val="20"/>
              </w:rPr>
              <w:t>0.215</w:t>
            </w:r>
          </w:p>
        </w:tc>
        <w:tc>
          <w:tcPr>
            <w:tcW w:type="dxa" w:w="957"/>
          </w:tcPr>
          <w:p>
            <w:r/>
            <w:r>
              <w:rPr>
                <w:rFonts w:ascii="Times New Roman" w:hAnsi="Times New Roman" w:eastAsia="宋体"/>
                <w:sz w:val="20"/>
              </w:rPr>
              <w:t>影响程度（高）+预期效果（高）</w:t>
            </w:r>
          </w:p>
        </w:tc>
      </w:tr>
      <w:tr>
        <w:tc>
          <w:tcPr>
            <w:tcW w:type="dxa" w:w="957"/>
          </w:tcPr>
          <w:p>
            <w:r/>
            <w:r>
              <w:rPr>
                <w:rFonts w:ascii="Times New Roman" w:hAnsi="Times New Roman" w:eastAsia="宋体"/>
                <w:sz w:val="20"/>
              </w:rPr>
              <w:t>2</w:t>
            </w:r>
          </w:p>
        </w:tc>
        <w:tc>
          <w:tcPr>
            <w:tcW w:type="dxa" w:w="957"/>
          </w:tcPr>
          <w:p>
            <w:r/>
            <w:r>
              <w:rPr>
                <w:rFonts w:ascii="Times New Roman" w:hAnsi="Times New Roman" w:eastAsia="宋体"/>
                <w:sz w:val="20"/>
              </w:rPr>
              <w:t>B4 多院区信息孤岛</w:t>
            </w:r>
          </w:p>
        </w:tc>
        <w:tc>
          <w:tcPr>
            <w:tcW w:type="dxa" w:w="957"/>
          </w:tcPr>
          <w:p>
            <w:r/>
            <w:r>
              <w:rPr>
                <w:rFonts w:ascii="Times New Roman" w:hAnsi="Times New Roman" w:eastAsia="宋体"/>
                <w:sz w:val="20"/>
              </w:rPr>
              <w:t>0.256</w:t>
            </w:r>
          </w:p>
        </w:tc>
        <w:tc>
          <w:tcPr>
            <w:tcW w:type="dxa" w:w="957"/>
          </w:tcPr>
          <w:p>
            <w:r/>
            <w:r>
              <w:rPr>
                <w:rFonts w:ascii="Times New Roman" w:hAnsi="Times New Roman" w:eastAsia="宋体"/>
                <w:sz w:val="20"/>
              </w:rPr>
              <w:t>0.105</w:t>
            </w:r>
          </w:p>
        </w:tc>
        <w:tc>
          <w:tcPr>
            <w:tcW w:type="dxa" w:w="957"/>
          </w:tcPr>
          <w:p>
            <w:r/>
            <w:r>
              <w:rPr>
                <w:rFonts w:ascii="Times New Roman" w:hAnsi="Times New Roman" w:eastAsia="宋体"/>
                <w:sz w:val="20"/>
              </w:rPr>
              <w:t>0.087</w:t>
            </w:r>
          </w:p>
        </w:tc>
        <w:tc>
          <w:tcPr>
            <w:tcW w:type="dxa" w:w="957"/>
          </w:tcPr>
          <w:p>
            <w:r/>
            <w:r>
              <w:rPr>
                <w:rFonts w:ascii="Times New Roman" w:hAnsi="Times New Roman" w:eastAsia="宋体"/>
                <w:sz w:val="20"/>
              </w:rPr>
              <w:t>0.159</w:t>
            </w:r>
          </w:p>
        </w:tc>
        <w:tc>
          <w:tcPr>
            <w:tcW w:type="dxa" w:w="957"/>
          </w:tcPr>
          <w:p>
            <w:r/>
            <w:r>
              <w:rPr>
                <w:rFonts w:ascii="Times New Roman" w:hAnsi="Times New Roman" w:eastAsia="宋体"/>
                <w:sz w:val="20"/>
              </w:rPr>
              <w:t>0.221</w:t>
            </w:r>
          </w:p>
        </w:tc>
        <w:tc>
          <w:tcPr>
            <w:tcW w:type="dxa" w:w="957"/>
          </w:tcPr>
          <w:p>
            <w:r/>
            <w:r>
              <w:rPr>
                <w:rFonts w:ascii="Times New Roman" w:hAnsi="Times New Roman" w:eastAsia="宋体"/>
                <w:sz w:val="20"/>
              </w:rPr>
              <w:t>0.198</w:t>
            </w:r>
          </w:p>
        </w:tc>
        <w:tc>
          <w:tcPr>
            <w:tcW w:type="dxa" w:w="957"/>
          </w:tcPr>
          <w:p>
            <w:r/>
            <w:r>
              <w:rPr>
                <w:rFonts w:ascii="Times New Roman" w:hAnsi="Times New Roman" w:eastAsia="宋体"/>
                <w:sz w:val="20"/>
              </w:rPr>
              <w:t>影响程度（高）+患者影响（高）</w:t>
            </w:r>
          </w:p>
        </w:tc>
      </w:tr>
      <w:tr>
        <w:tc>
          <w:tcPr>
            <w:tcW w:type="dxa" w:w="957"/>
          </w:tcPr>
          <w:p>
            <w:r/>
            <w:r>
              <w:rPr>
                <w:rFonts w:ascii="Times New Roman" w:hAnsi="Times New Roman" w:eastAsia="宋体"/>
                <w:sz w:val="20"/>
              </w:rPr>
              <w:t>3</w:t>
            </w:r>
          </w:p>
        </w:tc>
        <w:tc>
          <w:tcPr>
            <w:tcW w:type="dxa" w:w="957"/>
          </w:tcPr>
          <w:p>
            <w:r/>
            <w:r>
              <w:rPr>
                <w:rFonts w:ascii="Times New Roman" w:hAnsi="Times New Roman" w:eastAsia="宋体"/>
                <w:sz w:val="20"/>
              </w:rPr>
              <w:t>B2 检查→复诊回路断点</w:t>
            </w:r>
          </w:p>
        </w:tc>
        <w:tc>
          <w:tcPr>
            <w:tcW w:type="dxa" w:w="957"/>
          </w:tcPr>
          <w:p>
            <w:r/>
            <w:r>
              <w:rPr>
                <w:rFonts w:ascii="Times New Roman" w:hAnsi="Times New Roman" w:eastAsia="宋体"/>
                <w:sz w:val="20"/>
              </w:rPr>
              <w:t>0.178</w:t>
            </w:r>
          </w:p>
        </w:tc>
        <w:tc>
          <w:tcPr>
            <w:tcW w:type="dxa" w:w="957"/>
          </w:tcPr>
          <w:p>
            <w:r/>
            <w:r>
              <w:rPr>
                <w:rFonts w:ascii="Times New Roman" w:hAnsi="Times New Roman" w:eastAsia="宋体"/>
                <w:sz w:val="20"/>
              </w:rPr>
              <w:t>0.183</w:t>
            </w:r>
          </w:p>
        </w:tc>
        <w:tc>
          <w:tcPr>
            <w:tcW w:type="dxa" w:w="957"/>
          </w:tcPr>
          <w:p>
            <w:r/>
            <w:r>
              <w:rPr>
                <w:rFonts w:ascii="Times New Roman" w:hAnsi="Times New Roman" w:eastAsia="宋体"/>
                <w:sz w:val="20"/>
              </w:rPr>
              <w:t>0.173</w:t>
            </w:r>
          </w:p>
        </w:tc>
        <w:tc>
          <w:tcPr>
            <w:tcW w:type="dxa" w:w="957"/>
          </w:tcPr>
          <w:p>
            <w:r/>
            <w:r>
              <w:rPr>
                <w:rFonts w:ascii="Times New Roman" w:hAnsi="Times New Roman" w:eastAsia="宋体"/>
                <w:sz w:val="20"/>
              </w:rPr>
              <w:t>0.196</w:t>
            </w:r>
          </w:p>
        </w:tc>
        <w:tc>
          <w:tcPr>
            <w:tcW w:type="dxa" w:w="957"/>
          </w:tcPr>
          <w:p>
            <w:r/>
            <w:r>
              <w:rPr>
                <w:rFonts w:ascii="Times New Roman" w:hAnsi="Times New Roman" w:eastAsia="宋体"/>
                <w:sz w:val="20"/>
              </w:rPr>
              <w:t>0.132</w:t>
            </w:r>
          </w:p>
        </w:tc>
        <w:tc>
          <w:tcPr>
            <w:tcW w:type="dxa" w:w="957"/>
          </w:tcPr>
          <w:p>
            <w:r/>
            <w:r>
              <w:rPr>
                <w:rFonts w:ascii="Times New Roman" w:hAnsi="Times New Roman" w:eastAsia="宋体"/>
                <w:sz w:val="20"/>
              </w:rPr>
              <w:t>0.172</w:t>
            </w:r>
          </w:p>
        </w:tc>
        <w:tc>
          <w:tcPr>
            <w:tcW w:type="dxa" w:w="957"/>
          </w:tcPr>
          <w:p>
            <w:r/>
            <w:r>
              <w:rPr>
                <w:rFonts w:ascii="Times New Roman" w:hAnsi="Times New Roman" w:eastAsia="宋体"/>
                <w:sz w:val="20"/>
              </w:rPr>
              <w:t>影响程度（中高）+预期效果（中高）</w:t>
            </w:r>
          </w:p>
        </w:tc>
      </w:tr>
      <w:tr>
        <w:tc>
          <w:tcPr>
            <w:tcW w:type="dxa" w:w="957"/>
          </w:tcPr>
          <w:p>
            <w:r/>
            <w:r>
              <w:rPr>
                <w:rFonts w:ascii="Times New Roman" w:hAnsi="Times New Roman" w:eastAsia="宋体"/>
                <w:sz w:val="20"/>
              </w:rPr>
              <w:t>4</w:t>
            </w:r>
          </w:p>
        </w:tc>
        <w:tc>
          <w:tcPr>
            <w:tcW w:type="dxa" w:w="957"/>
          </w:tcPr>
          <w:p>
            <w:r/>
            <w:r>
              <w:rPr>
                <w:rFonts w:ascii="Times New Roman" w:hAnsi="Times New Roman" w:eastAsia="宋体"/>
                <w:sz w:val="20"/>
              </w:rPr>
              <w:t>B5 服务标准不统一</w:t>
            </w:r>
          </w:p>
        </w:tc>
        <w:tc>
          <w:tcPr>
            <w:tcW w:type="dxa" w:w="957"/>
          </w:tcPr>
          <w:p>
            <w:r/>
            <w:r>
              <w:rPr>
                <w:rFonts w:ascii="Times New Roman" w:hAnsi="Times New Roman" w:eastAsia="宋体"/>
                <w:sz w:val="20"/>
              </w:rPr>
              <w:t>0.114</w:t>
            </w:r>
          </w:p>
        </w:tc>
        <w:tc>
          <w:tcPr>
            <w:tcW w:type="dxa" w:w="957"/>
          </w:tcPr>
          <w:p>
            <w:r/>
            <w:r>
              <w:rPr>
                <w:rFonts w:ascii="Times New Roman" w:hAnsi="Times New Roman" w:eastAsia="宋体"/>
                <w:sz w:val="20"/>
              </w:rPr>
              <w:t>0.246</w:t>
            </w:r>
          </w:p>
        </w:tc>
        <w:tc>
          <w:tcPr>
            <w:tcW w:type="dxa" w:w="957"/>
          </w:tcPr>
          <w:p>
            <w:r/>
            <w:r>
              <w:rPr>
                <w:rFonts w:ascii="Times New Roman" w:hAnsi="Times New Roman" w:eastAsia="宋体"/>
                <w:sz w:val="20"/>
              </w:rPr>
              <w:t>0.291</w:t>
            </w:r>
          </w:p>
        </w:tc>
        <w:tc>
          <w:tcPr>
            <w:tcW w:type="dxa" w:w="957"/>
          </w:tcPr>
          <w:p>
            <w:r/>
            <w:r>
              <w:rPr>
                <w:rFonts w:ascii="Times New Roman" w:hAnsi="Times New Roman" w:eastAsia="宋体"/>
                <w:sz w:val="20"/>
              </w:rPr>
              <w:t>0.125</w:t>
            </w:r>
          </w:p>
        </w:tc>
        <w:tc>
          <w:tcPr>
            <w:tcW w:type="dxa" w:w="957"/>
          </w:tcPr>
          <w:p>
            <w:r/>
            <w:r>
              <w:rPr>
                <w:rFonts w:ascii="Times New Roman" w:hAnsi="Times New Roman" w:eastAsia="宋体"/>
                <w:sz w:val="20"/>
              </w:rPr>
              <w:t>0.137</w:t>
            </w:r>
          </w:p>
        </w:tc>
        <w:tc>
          <w:tcPr>
            <w:tcW w:type="dxa" w:w="957"/>
          </w:tcPr>
          <w:p>
            <w:r/>
            <w:r>
              <w:rPr>
                <w:rFonts w:ascii="Times New Roman" w:hAnsi="Times New Roman" w:eastAsia="宋体"/>
                <w:sz w:val="20"/>
              </w:rPr>
              <w:t>0.148</w:t>
            </w:r>
          </w:p>
        </w:tc>
        <w:tc>
          <w:tcPr>
            <w:tcW w:type="dxa" w:w="957"/>
          </w:tcPr>
          <w:p>
            <w:r/>
            <w:r>
              <w:rPr>
                <w:rFonts w:ascii="Times New Roman" w:hAnsi="Times New Roman" w:eastAsia="宋体"/>
                <w:sz w:val="20"/>
              </w:rPr>
              <w:t>实施难度（低）+预期效果（中）</w:t>
            </w:r>
          </w:p>
        </w:tc>
      </w:tr>
      <w:tr>
        <w:tc>
          <w:tcPr>
            <w:tcW w:type="dxa" w:w="957"/>
          </w:tcPr>
          <w:p>
            <w:r/>
            <w:r>
              <w:rPr>
                <w:rFonts w:ascii="Times New Roman" w:hAnsi="Times New Roman" w:eastAsia="宋体"/>
                <w:sz w:val="20"/>
              </w:rPr>
              <w:t>5</w:t>
            </w:r>
          </w:p>
        </w:tc>
        <w:tc>
          <w:tcPr>
            <w:tcW w:type="dxa" w:w="957"/>
          </w:tcPr>
          <w:p>
            <w:r/>
            <w:r>
              <w:rPr>
                <w:rFonts w:ascii="Times New Roman" w:hAnsi="Times New Roman" w:eastAsia="宋体"/>
                <w:sz w:val="20"/>
              </w:rPr>
              <w:t>B3 药品配送最后一公里</w:t>
            </w:r>
          </w:p>
        </w:tc>
        <w:tc>
          <w:tcPr>
            <w:tcW w:type="dxa" w:w="957"/>
          </w:tcPr>
          <w:p>
            <w:r/>
            <w:r>
              <w:rPr>
                <w:rFonts w:ascii="Times New Roman" w:hAnsi="Times New Roman" w:eastAsia="宋体"/>
                <w:sz w:val="20"/>
              </w:rPr>
              <w:t>0.107</w:t>
            </w:r>
          </w:p>
        </w:tc>
        <w:tc>
          <w:tcPr>
            <w:tcW w:type="dxa" w:w="957"/>
          </w:tcPr>
          <w:p>
            <w:r/>
            <w:r>
              <w:rPr>
                <w:rFonts w:ascii="Times New Roman" w:hAnsi="Times New Roman" w:eastAsia="宋体"/>
                <w:sz w:val="20"/>
              </w:rPr>
              <w:t>0.158</w:t>
            </w:r>
          </w:p>
        </w:tc>
        <w:tc>
          <w:tcPr>
            <w:tcW w:type="dxa" w:w="957"/>
          </w:tcPr>
          <w:p>
            <w:r/>
            <w:r>
              <w:rPr>
                <w:rFonts w:ascii="Times New Roman" w:hAnsi="Times New Roman" w:eastAsia="宋体"/>
                <w:sz w:val="20"/>
              </w:rPr>
              <w:t>0.137</w:t>
            </w:r>
          </w:p>
        </w:tc>
        <w:tc>
          <w:tcPr>
            <w:tcW w:type="dxa" w:w="957"/>
          </w:tcPr>
          <w:p>
            <w:r/>
            <w:r>
              <w:rPr>
                <w:rFonts w:ascii="Times New Roman" w:hAnsi="Times New Roman" w:eastAsia="宋体"/>
                <w:sz w:val="20"/>
              </w:rPr>
              <w:t>0.074</w:t>
            </w:r>
          </w:p>
        </w:tc>
        <w:tc>
          <w:tcPr>
            <w:tcW w:type="dxa" w:w="957"/>
          </w:tcPr>
          <w:p>
            <w:r/>
            <w:r>
              <w:rPr>
                <w:rFonts w:ascii="Times New Roman" w:hAnsi="Times New Roman" w:eastAsia="宋体"/>
                <w:sz w:val="20"/>
              </w:rPr>
              <w:t>0.260</w:t>
            </w:r>
          </w:p>
        </w:tc>
        <w:tc>
          <w:tcPr>
            <w:tcW w:type="dxa" w:w="957"/>
          </w:tcPr>
          <w:p>
            <w:r/>
            <w:r>
              <w:rPr>
                <w:rFonts w:ascii="Times New Roman" w:hAnsi="Times New Roman" w:eastAsia="宋体"/>
                <w:sz w:val="20"/>
              </w:rPr>
              <w:t>0.142</w:t>
            </w:r>
          </w:p>
        </w:tc>
        <w:tc>
          <w:tcPr>
            <w:tcW w:type="dxa" w:w="957"/>
          </w:tcPr>
          <w:p>
            <w:r/>
            <w:r>
              <w:rPr>
                <w:rFonts w:ascii="Times New Roman" w:hAnsi="Times New Roman" w:eastAsia="宋体"/>
                <w:sz w:val="20"/>
              </w:rPr>
              <w:t>患者影响（高）+改造成本（中）</w:t>
            </w:r>
          </w:p>
        </w:tc>
      </w:tr>
      <w:tr>
        <w:tc>
          <w:tcPr>
            <w:tcW w:type="dxa" w:w="957"/>
          </w:tcPr>
          <w:p>
            <w:r/>
            <w:r>
              <w:rPr>
                <w:rFonts w:ascii="Times New Roman" w:hAnsi="Times New Roman" w:eastAsia="宋体"/>
                <w:sz w:val="20"/>
              </w:rPr>
              <w:t>6</w:t>
            </w:r>
          </w:p>
        </w:tc>
        <w:tc>
          <w:tcPr>
            <w:tcW w:type="dxa" w:w="957"/>
          </w:tcPr>
          <w:p>
            <w:r/>
            <w:r>
              <w:rPr>
                <w:rFonts w:ascii="Times New Roman" w:hAnsi="Times New Roman" w:eastAsia="宋体"/>
                <w:sz w:val="20"/>
              </w:rPr>
              <w:t>B6 数据利用不足</w:t>
            </w:r>
          </w:p>
        </w:tc>
        <w:tc>
          <w:tcPr>
            <w:tcW w:type="dxa" w:w="957"/>
          </w:tcPr>
          <w:p>
            <w:r/>
            <w:r>
              <w:rPr>
                <w:rFonts w:ascii="Times New Roman" w:hAnsi="Times New Roman" w:eastAsia="宋体"/>
                <w:sz w:val="20"/>
              </w:rPr>
              <w:t>0.078</w:t>
            </w:r>
          </w:p>
        </w:tc>
        <w:tc>
          <w:tcPr>
            <w:tcW w:type="dxa" w:w="957"/>
          </w:tcPr>
          <w:p>
            <w:r/>
            <w:r>
              <w:rPr>
                <w:rFonts w:ascii="Times New Roman" w:hAnsi="Times New Roman" w:eastAsia="宋体"/>
                <w:sz w:val="20"/>
              </w:rPr>
              <w:t>0.226</w:t>
            </w:r>
          </w:p>
        </w:tc>
        <w:tc>
          <w:tcPr>
            <w:tcW w:type="dxa" w:w="957"/>
          </w:tcPr>
          <w:p>
            <w:r/>
            <w:r>
              <w:rPr>
                <w:rFonts w:ascii="Times New Roman" w:hAnsi="Times New Roman" w:eastAsia="宋体"/>
                <w:sz w:val="20"/>
              </w:rPr>
              <w:t>0.214</w:t>
            </w:r>
          </w:p>
        </w:tc>
        <w:tc>
          <w:tcPr>
            <w:tcW w:type="dxa" w:w="957"/>
          </w:tcPr>
          <w:p>
            <w:r/>
            <w:r>
              <w:rPr>
                <w:rFonts w:ascii="Times New Roman" w:hAnsi="Times New Roman" w:eastAsia="宋体"/>
                <w:sz w:val="20"/>
              </w:rPr>
              <w:t>0.165</w:t>
            </w:r>
          </w:p>
        </w:tc>
        <w:tc>
          <w:tcPr>
            <w:tcW w:type="dxa" w:w="957"/>
          </w:tcPr>
          <w:p>
            <w:r/>
            <w:r>
              <w:rPr>
                <w:rFonts w:ascii="Times New Roman" w:hAnsi="Times New Roman" w:eastAsia="宋体"/>
                <w:sz w:val="20"/>
              </w:rPr>
              <w:t>0.086</w:t>
            </w:r>
          </w:p>
        </w:tc>
        <w:tc>
          <w:tcPr>
            <w:tcW w:type="dxa" w:w="957"/>
          </w:tcPr>
          <w:p>
            <w:r/>
            <w:r>
              <w:rPr>
                <w:rFonts w:ascii="Times New Roman" w:hAnsi="Times New Roman" w:eastAsia="宋体"/>
                <w:sz w:val="20"/>
              </w:rPr>
              <w:t>0.125</w:t>
            </w:r>
          </w:p>
        </w:tc>
        <w:tc>
          <w:tcPr>
            <w:tcW w:type="dxa" w:w="957"/>
          </w:tcPr>
          <w:p>
            <w:r/>
            <w:r>
              <w:rPr>
                <w:rFonts w:ascii="Times New Roman" w:hAnsi="Times New Roman" w:eastAsia="宋体"/>
                <w:sz w:val="20"/>
              </w:rPr>
              <w:t>实施难度（中）+预期效果（中高）</w:t>
            </w:r>
          </w:p>
        </w:tc>
      </w:tr>
    </w:tbl>
    <w:p/>
    <w:p>
      <w:pPr>
        <w:spacing w:line="400" w:lineRule="exact" w:before="0" w:after="0"/>
        <w:ind w:firstLine="480"/>
        <w:jc w:val="both"/>
      </w:pPr>
      <w:r>
        <w:rPr>
          <w:rFonts w:ascii="Times New Roman" w:hAnsi="Times New Roman" w:eastAsia="宋体"/>
          <w:b w:val="0"/>
          <w:sz w:val="24"/>
        </w:rPr>
        <w:t>以B1为例，其综合得分=0.267×0.367+0.082×0.109+0.098×0.068+0.281×0.228+0.164×0.228≈0.215，其余瓶颈的综合得分同理加权计算，六个综合得分之和为1。</w:t>
      </w:r>
    </w:p>
    <w:p>
      <w:pPr>
        <w:spacing w:line="400" w:lineRule="exact" w:before="0" w:after="0"/>
        <w:ind w:firstLine="480"/>
        <w:jc w:val="both"/>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打通线上处方与线下检查的信息通道，将直接消除当前流程中最大的断点。B4的高得分则源于其广泛的影响范围，信息孤岛问题涉及所有院区和几乎所有业务类型，其解决将带来系统性的效率提升。</w:t>
      </w:r>
    </w:p>
    <w:p>
      <w:pPr>
        <w:spacing w:line="400" w:lineRule="exact" w:before="0" w:after="0"/>
        <w:ind w:firstLine="480"/>
        <w:jc w:val="both"/>
      </w:pPr>
      <w:r>
        <w:rPr>
          <w:rFonts w:ascii="Times New Roman" w:hAnsi="Times New Roman" w:eastAsia="宋体"/>
          <w:b w:val="0"/>
          <w:sz w:val="24"/>
        </w:rPr>
        <w:t>改进优先级排序结果给第五章第二节的优化方案设计提供了清晰的资源分配指引：优先资源应集中投入B1和B4，其次是B2和B5，B3和B6可在前四项改进取得阶段性成果后再逐步推进。</w:t>
      </w:r>
    </w:p>
    <w:p>
      <w:pPr>
        <w:spacing w:line="400" w:lineRule="exact" w:before="0" w:after="0"/>
        <w:ind w:firstLine="480"/>
        <w:jc w:val="both"/>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pPr>
        <w:spacing w:line="240" w:lineRule="auto" w:before="480" w:after="360"/>
        <w:jc w:val="center"/>
        <w:outlineLvl w:val="0"/>
      </w:pPr>
      <w:r>
        <w:rPr>
          <w:rFonts w:ascii="Times New Roman" w:hAnsi="Times New Roman" w:eastAsia="黑体"/>
          <w:b/>
          <w:sz w:val="32"/>
        </w:rPr>
        <w:t>第五章　服务蓝图优化方案设计与效果验证</w:t>
      </w:r>
    </w:p>
    <w:p>
      <w:pPr>
        <w:spacing w:line="240" w:lineRule="auto" w:before="480" w:after="120"/>
        <w:jc w:val="center"/>
        <w:outlineLvl w:val="1"/>
      </w:pPr>
      <w:r>
        <w:rPr>
          <w:rFonts w:ascii="Times New Roman" w:hAnsi="Times New Roman" w:eastAsia="黑体"/>
          <w:b/>
          <w:sz w:val="28"/>
        </w:rPr>
        <w:t>第一节　研究设计</w:t>
      </w:r>
    </w:p>
    <w:p>
      <w:pPr>
        <w:spacing w:line="400" w:lineRule="exact" w:before="0" w:after="0"/>
        <w:ind w:firstLine="480"/>
        <w:jc w:val="both"/>
      </w:pPr>
      <w:r>
        <w:rPr>
          <w:rFonts w:ascii="Times New Roman" w:hAnsi="Times New Roman" w:eastAsia="宋体"/>
          <w:b w:val="0"/>
          <w:sz w:val="24"/>
        </w:rPr>
        <w:t>第四章回答了“瓶颈在哪、先改哪个”，本章回答“如何改、效果如何”。本节交代支撑方案设计与效果验证的两种方法——服务蓝图法与准实验法的设计方案；第二节绘制现状服务蓝图、按AHP优先级设计三大优化方案并绘制优化后服务蓝图；第三节通过试点准实验与AHP综合评分检验方案效果。</w:t>
      </w:r>
    </w:p>
    <w:p>
      <w:pPr>
        <w:spacing w:line="240" w:lineRule="auto" w:before="240" w:after="120"/>
        <w:ind w:firstLine="520"/>
        <w:outlineLvl w:val="2"/>
      </w:pPr>
      <w:r>
        <w:rPr>
          <w:rFonts w:ascii="Times New Roman" w:hAnsi="Times New Roman" w:eastAsia="黑体"/>
          <w:b/>
          <w:sz w:val="26"/>
        </w:rPr>
        <w:t>一、服务蓝图法应用设计</w:t>
      </w:r>
    </w:p>
    <w:p>
      <w:pPr>
        <w:spacing w:line="400" w:lineRule="exact" w:before="0" w:after="0"/>
        <w:ind w:firstLine="480"/>
        <w:jc w:val="both"/>
      </w:pPr>
      <w:r>
        <w:rPr>
          <w:rFonts w:ascii="Times New Roman" w:hAnsi="Times New Roman" w:eastAsia="宋体"/>
          <w:b w:val="0"/>
          <w:sz w:val="24"/>
        </w:rPr>
        <w:t>服务蓝图的三层结构与画线规则已在第二章第二节交代。本章直接取用这套建模语言：患者行为层对应前台，后台操作层与系统支持层分别对应后台操作和支持过程（Bitner 等，2008），据此绘制现状与优化后两张蓝图。</w:t>
      </w:r>
    </w:p>
    <w:p>
      <w:pPr>
        <w:spacing w:line="400" w:lineRule="exact" w:before="0" w:after="0"/>
        <w:ind w:firstLine="480"/>
        <w:jc w:val="both"/>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管理平台、物流系统等底层支持系统的数据流和交互关系。第五步，标注可视线（Line of Visibility）和互动线（Line of Interaction），区分患者可见与不可见的服务环节。第六步，基于第三章第四节的定性断点分析与第四章第二节的定量诊断结果，在蓝图上用醒目标记标注流程断点的位置、类型和严重程度，严重程度参照第四章第三节的AHP综合得分。</w:t>
      </w:r>
    </w:p>
    <w:p>
      <w:pPr>
        <w:spacing w:line="400" w:lineRule="exact" w:before="0" w:after="0"/>
        <w:ind w:firstLine="480"/>
        <w:jc w:val="both"/>
      </w:pPr>
      <w:r>
        <w:rPr>
          <w:rFonts w:ascii="Times New Roman" w:hAnsi="Times New Roman" w:eastAsia="宋体"/>
          <w:b w:val="0"/>
          <w:sz w:val="24"/>
        </w:rPr>
        <w:t>优化后服务蓝图在第五章第二节优化方案设计完成后绘制，展示流程改进后的理想状态，并与现状蓝图对比分析，直观呈现优化的效果。</w:t>
      </w:r>
    </w:p>
    <w:p>
      <w:pPr>
        <w:spacing w:line="240" w:lineRule="auto" w:before="240" w:after="120"/>
        <w:ind w:firstLine="520"/>
        <w:outlineLvl w:val="2"/>
      </w:pPr>
      <w:r>
        <w:rPr>
          <w:rFonts w:ascii="Times New Roman" w:hAnsi="Times New Roman" w:eastAsia="黑体"/>
          <w:b/>
          <w:sz w:val="26"/>
        </w:rPr>
        <w:t>二、准实验设计</w:t>
      </w:r>
    </w:p>
    <w:p>
      <w:pPr>
        <w:spacing w:line="400" w:lineRule="exact" w:before="0" w:after="0"/>
        <w:ind w:firstLine="480"/>
        <w:jc w:val="both"/>
      </w:pPr>
      <w:r>
        <w:rPr>
          <w:rFonts w:ascii="Times New Roman" w:hAnsi="Times New Roman" w:eastAsia="宋体"/>
          <w:b w:val="0"/>
          <w:sz w:val="24"/>
        </w:rPr>
        <w:t>组织管理研究中的干预措施很少能像实验室实验那样随机分组，准实验设计正是为此而生的折中方案：放弃随机分配，靠设计本身控制干扰因素，以接近干预的真实效果（Shadish 等，2002）。本文的试点验证即属此类。</w:t>
      </w:r>
    </w:p>
    <w:p>
      <w:pPr>
        <w:spacing w:line="400" w:lineRule="exact" w:before="0" w:after="0"/>
        <w:ind w:firstLine="480"/>
        <w:jc w:val="both"/>
      </w:pPr>
      <w:r>
        <w:rPr>
          <w:rFonts w:ascii="Times New Roman" w:hAnsi="Times New Roman" w:eastAsia="宋体"/>
          <w:b w:val="0"/>
          <w:sz w:val="24"/>
        </w:rPr>
        <w:t>本研究的准实验设计采用“前测—后测非等组设计”，具体方案如下。实验组选取A医药集团旗下的医院A作为试点院区——医院A是集团的标杆医院，在线服务量占比最高，代表性最强，且信息系统基础较好，具备实施优化方案的先决条件。对照组选取医院B本部（不含其D、E分院区）——其服务体量与医院A最为接近，基线指标可比，以确保两组在基线特征上的可比性。</w:t>
      </w:r>
    </w:p>
    <w:p>
      <w:pPr>
        <w:spacing w:line="400" w:lineRule="exact" w:before="0" w:after="0"/>
        <w:ind w:firstLine="480"/>
        <w:jc w:val="both"/>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用于收集优化后的对比数据。选择三个月的时间窗口是为了确保足够的样本量，同时平滑短期波动的影响。</w:t>
      </w:r>
    </w:p>
    <w:p>
      <w:pPr>
        <w:spacing w:line="400" w:lineRule="exact" w:before="0" w:after="0"/>
        <w:ind w:firstLine="480"/>
        <w:jc w:val="both"/>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pPr>
        <w:spacing w:line="400" w:lineRule="exact" w:before="0" w:after="0"/>
        <w:ind w:firstLine="480"/>
        <w:jc w:val="both"/>
      </w:pPr>
      <w:r>
        <w:rPr>
          <w:rFonts w:ascii="Times New Roman" w:hAnsi="Times New Roman" w:eastAsia="宋体"/>
          <w:b w:val="0"/>
          <w:sz w:val="24"/>
        </w:rPr>
        <w:t>数据分析方法采用双重差分法（Difference-in-Differences，DID），以控制试点院区和对照院区在优化前可能存在的时间趋势差异。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pPr>
        <w:spacing w:line="400" w:lineRule="exact" w:before="0" w:after="0"/>
        <w:ind w:firstLine="480"/>
        <w:jc w:val="both"/>
      </w:pPr>
      <w:r>
        <w:rPr>
          <w:rFonts w:ascii="Times New Roman" w:hAnsi="Times New Roman" w:eastAsia="宋体"/>
          <w:b w:val="0"/>
          <w:sz w:val="24"/>
        </w:rPr>
        <w:t>准实验设计的可行性基于以下前提条件。A医药集团互联网医院平台已积累48个月（2022年6月至2026年5月）的连续运营数据，前测基线的样本量足够；医院A的管理层对流程优化试点表示支持，实施阻力因此小得多；平台的数据采集机制能持续记录试点期间的所有业务事件，评估数据不会断档；而选择医院B本部作为对照组，可以把季节效应、政策变化等共同因素的影响控制住了。</w:t>
      </w:r>
    </w:p>
    <w:p>
      <w:pPr>
        <w:spacing w:line="400" w:lineRule="exact" w:before="0" w:after="0"/>
        <w:ind w:firstLine="480"/>
        <w:jc w:val="both"/>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六章第三节的研究局限部分做进一步讨论。</w:t>
      </w:r>
    </w:p>
    <w:p>
      <w:pPr>
        <w:spacing w:line="240" w:lineRule="auto" w:before="480" w:after="120"/>
        <w:jc w:val="center"/>
        <w:outlineLvl w:val="1"/>
      </w:pPr>
      <w:r>
        <w:rPr>
          <w:rFonts w:ascii="Times New Roman" w:hAnsi="Times New Roman" w:eastAsia="黑体"/>
          <w:b/>
          <w:sz w:val="28"/>
        </w:rPr>
        <w:t>第二节　服务蓝图与优化方案</w:t>
      </w:r>
    </w:p>
    <w:p>
      <w:pPr>
        <w:spacing w:line="400" w:lineRule="exact" w:before="0" w:after="0"/>
        <w:ind w:firstLine="480"/>
        <w:jc w:val="both"/>
      </w:pPr>
      <w:r>
        <w:rPr>
          <w:rFonts w:ascii="Times New Roman" w:hAnsi="Times New Roman" w:eastAsia="宋体"/>
          <w:b w:val="0"/>
          <w:sz w:val="24"/>
        </w:rPr>
        <w:t>本节的推进顺序是：先绘制现状服务蓝图并标注断点，再从三个维度提出系统性的流程优化方案：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pPr>
        <w:spacing w:line="240" w:lineRule="auto" w:before="240" w:after="120"/>
        <w:ind w:firstLine="520"/>
        <w:outlineLvl w:val="2"/>
      </w:pPr>
      <w:r>
        <w:rPr>
          <w:rFonts w:ascii="Times New Roman" w:hAnsi="Times New Roman" w:eastAsia="黑体"/>
          <w:b/>
          <w:sz w:val="26"/>
        </w:rPr>
        <w:t>一、现状服务蓝图（含断点标注）</w:t>
      </w:r>
    </w:p>
    <w:p>
      <w:pPr>
        <w:jc w:val="center"/>
      </w:pPr>
      <w:r>
        <w:drawing>
          <wp:inline xmlns:a="http://schemas.openxmlformats.org/drawingml/2006/main" xmlns:pic="http://schemas.openxmlformats.org/drawingml/2006/picture">
            <wp:extent cx="5040000" cy="3841228"/>
            <wp:docPr id="17" name="Picture 17"/>
            <wp:cNvGraphicFramePr>
              <a:graphicFrameLocks noChangeAspect="1"/>
            </wp:cNvGraphicFramePr>
            <a:graphic>
              <a:graphicData uri="http://schemas.openxmlformats.org/drawingml/2006/picture">
                <pic:pic>
                  <pic:nvPicPr>
                    <pic:cNvPr id="0" name="图5.1-现状服务蓝图.png"/>
                    <pic:cNvPicPr/>
                  </pic:nvPicPr>
                  <pic:blipFill>
                    <a:blip r:embed="rId27"/>
                    <a:stretch>
                      <a:fillRect/>
                    </a:stretch>
                  </pic:blipFill>
                  <pic:spPr>
                    <a:xfrm>
                      <a:off x="0" y="0"/>
                      <a:ext cx="5040000" cy="3841228"/>
                    </a:xfrm>
                    <a:prstGeom prst="rect"/>
                  </pic:spPr>
                </pic:pic>
              </a:graphicData>
            </a:graphic>
          </wp:inline>
        </w:drawing>
      </w:r>
    </w:p>
    <w:p>
      <w:pPr>
        <w:spacing w:line="240" w:lineRule="auto" w:before="120" w:after="240"/>
        <w:jc w:val="center"/>
      </w:pPr>
      <w:r>
        <w:rPr>
          <w:rFonts w:ascii="Times New Roman" w:hAnsi="Times New Roman" w:eastAsia="宋体"/>
          <w:b w:val="0"/>
          <w:sz w:val="21"/>
        </w:rPr>
        <w:t>图5.1　现状服务蓝图</w:t>
      </w:r>
    </w:p>
    <w:p>
      <w:pPr>
        <w:spacing w:line="400" w:lineRule="exact" w:before="0" w:after="0"/>
        <w:ind w:firstLine="480"/>
        <w:jc w:val="both"/>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的定性分析与第四章第二节的定量诊断结果，在蓝图上标注流程断点和痛点的位置，严重程度参照第四章第三节的AHP综合得分（B1为0.215、B4为0.198，居前两位）。现状蓝图不是示意式绘图：1150万条事件日志的每一条定量结论都在蓝图三层中有明确落点，日志诊断结论与蓝图环节的映射关系如表5.1所示。</w:t>
      </w:r>
    </w:p>
    <w:p>
      <w:pPr>
        <w:spacing w:line="240" w:lineRule="auto" w:before="120" w:after="120"/>
        <w:jc w:val="center"/>
      </w:pPr>
      <w:r>
        <w:rPr>
          <w:rFonts w:ascii="Times New Roman" w:hAnsi="Times New Roman" w:eastAsia="宋体"/>
          <w:b w:val="0"/>
          <w:sz w:val="21"/>
        </w:rPr>
        <w:t>表5.1　日志诊断结论与现状服务蓝图的对应关系</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日志定量诊断结论（第四章第二节）</w:t>
            </w:r>
          </w:p>
        </w:tc>
        <w:tc>
          <w:tcPr>
            <w:tcW w:type="dxa" w:w="2871"/>
            <w:tcBorders>
              <w:bottom w:val="single" w:sz="12" w:space="0" w:color="000000"/>
            </w:tcBorders>
          </w:tcPr>
          <w:p>
            <w:pPr>
              <w:jc w:val="center"/>
            </w:pPr>
            <w:r/>
            <w:r>
              <w:rPr>
                <w:rFonts w:ascii="Times New Roman" w:hAnsi="Times New Roman" w:eastAsia="宋体"/>
                <w:b/>
                <w:sz w:val="20"/>
              </w:rPr>
              <w:t>蓝图层次与步骤落点</w:t>
            </w:r>
          </w:p>
        </w:tc>
        <w:tc>
          <w:tcPr>
            <w:tcW w:type="dxa" w:w="2871"/>
            <w:tcBorders>
              <w:bottom w:val="single" w:sz="12" w:space="0" w:color="000000"/>
            </w:tcBorders>
          </w:tcPr>
          <w:p>
            <w:pPr>
              <w:jc w:val="center"/>
            </w:pPr>
            <w:r/>
            <w:r>
              <w:rPr>
                <w:rFonts w:ascii="Times New Roman" w:hAnsi="Times New Roman" w:eastAsia="宋体"/>
                <w:b/>
                <w:sz w:val="20"/>
              </w:rPr>
              <w:t>对应断点／瓶颈</w:t>
            </w:r>
          </w:p>
        </w:tc>
      </w:tr>
      <w:tr>
        <w:tc>
          <w:tcPr>
            <w:tcW w:type="dxa" w:w="2871"/>
          </w:tcPr>
          <w:p>
            <w:r/>
            <w:r>
              <w:rPr>
                <w:rFonts w:ascii="Times New Roman" w:hAnsi="Times New Roman" w:eastAsia="宋体"/>
                <w:sz w:val="20"/>
              </w:rPr>
              <w:t>问诊申请→医生接诊平均等待6.5分钟、P90达15.2分钟（表4.7）</w:t>
            </w:r>
          </w:p>
        </w:tc>
        <w:tc>
          <w:tcPr>
            <w:tcW w:type="dxa" w:w="2871"/>
          </w:tcPr>
          <w:p>
            <w:r/>
            <w:r>
              <w:rPr>
                <w:rFonts w:ascii="Times New Roman" w:hAnsi="Times New Roman" w:eastAsia="宋体"/>
                <w:sz w:val="20"/>
              </w:rPr>
              <w:t>患者行为层·第四步“等待医生接诊”</w:t>
            </w:r>
          </w:p>
        </w:tc>
        <w:tc>
          <w:tcPr>
            <w:tcW w:type="dxa" w:w="2871"/>
          </w:tcPr>
          <w:p>
            <w:r/>
            <w:r>
              <w:rPr>
                <w:rFonts w:ascii="Times New Roman" w:hAnsi="Times New Roman" w:eastAsia="宋体"/>
                <w:sz w:val="20"/>
              </w:rPr>
              <w:t>断点2（无进度反馈，关联B5）</w:t>
            </w:r>
          </w:p>
        </w:tc>
      </w:tr>
      <w:tr>
        <w:tc>
          <w:tcPr>
            <w:tcW w:type="dxa" w:w="2871"/>
          </w:tcPr>
          <w:p>
            <w:r/>
            <w:r>
              <w:rPr>
                <w:rFonts w:ascii="Times New Roman" w:hAnsi="Times New Roman" w:eastAsia="宋体"/>
                <w:sz w:val="20"/>
              </w:rPr>
              <w:t>主路径占32.5%、总耗时42分钟；处方审核平均8.0分钟、标准差15.3分钟（表4.6）</w:t>
            </w:r>
          </w:p>
        </w:tc>
        <w:tc>
          <w:tcPr>
            <w:tcW w:type="dxa" w:w="2871"/>
          </w:tcPr>
          <w:p>
            <w:r/>
            <w:r>
              <w:rPr>
                <w:rFonts w:ascii="Times New Roman" w:hAnsi="Times New Roman" w:eastAsia="宋体"/>
                <w:sz w:val="20"/>
              </w:rPr>
              <w:t>后台操作层·药师处方审核；患者行为层·第五至六步</w:t>
            </w:r>
          </w:p>
        </w:tc>
        <w:tc>
          <w:tcPr>
            <w:tcW w:type="dxa" w:w="2871"/>
          </w:tcPr>
          <w:p>
            <w:r/>
            <w:r>
              <w:rPr>
                <w:rFonts w:ascii="Times New Roman" w:hAnsi="Times New Roman" w:eastAsia="宋体"/>
                <w:sz w:val="20"/>
              </w:rPr>
              <w:t>审核耗时波动大（关联B5）</w:t>
            </w:r>
          </w:p>
        </w:tc>
      </w:tr>
      <w:tr>
        <w:tc>
          <w:tcPr>
            <w:tcW w:type="dxa" w:w="2871"/>
          </w:tcPr>
          <w:p>
            <w:r/>
            <w:r>
              <w:rPr>
                <w:rFonts w:ascii="Times New Roman" w:hAnsi="Times New Roman" w:eastAsia="宋体"/>
                <w:sz w:val="20"/>
              </w:rPr>
              <w:t>检查预约平均2.4小时；检查完成平均38.5小时、P90达96小时（表4.6）</w:t>
            </w:r>
          </w:p>
        </w:tc>
        <w:tc>
          <w:tcPr>
            <w:tcW w:type="dxa" w:w="2871"/>
          </w:tcPr>
          <w:p>
            <w:r/>
            <w:r>
              <w:rPr>
                <w:rFonts w:ascii="Times New Roman" w:hAnsi="Times New Roman" w:eastAsia="宋体"/>
                <w:sz w:val="20"/>
              </w:rPr>
              <w:t>患者行为层·第六步检查分支；后台操作层·检查科室</w:t>
            </w:r>
          </w:p>
        </w:tc>
        <w:tc>
          <w:tcPr>
            <w:tcW w:type="dxa" w:w="2871"/>
          </w:tcPr>
          <w:p>
            <w:r/>
            <w:r>
              <w:rPr>
                <w:rFonts w:ascii="Times New Roman" w:hAnsi="Times New Roman" w:eastAsia="宋体"/>
                <w:sz w:val="20"/>
              </w:rPr>
              <w:t>断点3（≈B1，AHP第1位）</w:t>
            </w:r>
          </w:p>
        </w:tc>
      </w:tr>
      <w:tr>
        <w:tc>
          <w:tcPr>
            <w:tcW w:type="dxa" w:w="2871"/>
          </w:tcPr>
          <w:p>
            <w:r/>
            <w:r>
              <w:rPr>
                <w:rFonts w:ascii="Times New Roman" w:hAnsi="Times New Roman" w:eastAsia="宋体"/>
                <w:sz w:val="20"/>
              </w:rPr>
              <w:t>检查完成→报告查看等待3.8小时（表4.7）；“返工”型变体占3.1%</w:t>
            </w:r>
          </w:p>
        </w:tc>
        <w:tc>
          <w:tcPr>
            <w:tcW w:type="dxa" w:w="2871"/>
          </w:tcPr>
          <w:p>
            <w:r/>
            <w:r>
              <w:rPr>
                <w:rFonts w:ascii="Times New Roman" w:hAnsi="Times New Roman" w:eastAsia="宋体"/>
                <w:sz w:val="20"/>
              </w:rPr>
              <w:t>患者行为层·第七步报告查看与复诊回流</w:t>
            </w:r>
          </w:p>
        </w:tc>
        <w:tc>
          <w:tcPr>
            <w:tcW w:type="dxa" w:w="2871"/>
          </w:tcPr>
          <w:p>
            <w:r/>
            <w:r>
              <w:rPr>
                <w:rFonts w:ascii="Times New Roman" w:hAnsi="Times New Roman" w:eastAsia="宋体"/>
                <w:sz w:val="20"/>
              </w:rPr>
              <w:t>关联B2（检查—复诊回路断点）</w:t>
            </w:r>
          </w:p>
        </w:tc>
      </w:tr>
      <w:tr>
        <w:tc>
          <w:tcPr>
            <w:tcW w:type="dxa" w:w="2871"/>
          </w:tcPr>
          <w:p>
            <w:r/>
            <w:r>
              <w:rPr>
                <w:rFonts w:ascii="Times New Roman" w:hAnsi="Times New Roman" w:eastAsia="宋体"/>
                <w:sz w:val="20"/>
              </w:rPr>
              <w:t>审核通过→取药选择等待5.1分钟；药品取药平均15.3分钟（表4.6、表4.7）</w:t>
            </w:r>
          </w:p>
        </w:tc>
        <w:tc>
          <w:tcPr>
            <w:tcW w:type="dxa" w:w="2871"/>
          </w:tcPr>
          <w:p>
            <w:r/>
            <w:r>
              <w:rPr>
                <w:rFonts w:ascii="Times New Roman" w:hAnsi="Times New Roman" w:eastAsia="宋体"/>
                <w:sz w:val="20"/>
              </w:rPr>
              <w:t>患者行为层·第六至七步取药方式选择与等待</w:t>
            </w:r>
          </w:p>
        </w:tc>
        <w:tc>
          <w:tcPr>
            <w:tcW w:type="dxa" w:w="2871"/>
          </w:tcPr>
          <w:p>
            <w:r/>
            <w:r>
              <w:rPr>
                <w:rFonts w:ascii="Times New Roman" w:hAnsi="Times New Roman" w:eastAsia="宋体"/>
                <w:sz w:val="20"/>
              </w:rPr>
              <w:t>断点4（≈B3最后一公里）</w:t>
            </w:r>
          </w:p>
        </w:tc>
      </w:tr>
      <w:tr>
        <w:tc>
          <w:tcPr>
            <w:tcW w:type="dxa" w:w="2871"/>
          </w:tcPr>
          <w:p>
            <w:r/>
            <w:r>
              <w:rPr>
                <w:rFonts w:ascii="Times New Roman" w:hAnsi="Times New Roman" w:eastAsia="宋体"/>
                <w:sz w:val="20"/>
              </w:rPr>
              <w:t>返工率6.2%；“顺序颠倒”型变体占1.8%</w:t>
            </w:r>
          </w:p>
        </w:tc>
        <w:tc>
          <w:tcPr>
            <w:tcW w:type="dxa" w:w="2871"/>
          </w:tcPr>
          <w:p>
            <w:r/>
            <w:r>
              <w:rPr>
                <w:rFonts w:ascii="Times New Roman" w:hAnsi="Times New Roman" w:eastAsia="宋体"/>
                <w:sz w:val="20"/>
              </w:rPr>
              <w:t>跨层：处方退回重开（后台操作层）、入口路径引导（患者行为层）</w:t>
            </w:r>
          </w:p>
        </w:tc>
        <w:tc>
          <w:tcPr>
            <w:tcW w:type="dxa" w:w="2871"/>
          </w:tcPr>
          <w:p>
            <w:r/>
            <w:r>
              <w:rPr>
                <w:rFonts w:ascii="Times New Roman" w:hAnsi="Times New Roman" w:eastAsia="宋体"/>
                <w:sz w:val="20"/>
              </w:rPr>
              <w:t>断点1（体验痛点，关联B5、B6）</w:t>
            </w:r>
          </w:p>
        </w:tc>
      </w:tr>
      <w:tr>
        <w:tc>
          <w:tcPr>
            <w:tcW w:type="dxa" w:w="2871"/>
          </w:tcPr>
          <w:p>
            <w:r/>
            <w:r>
              <w:rPr>
                <w:rFonts w:ascii="Times New Roman" w:hAnsi="Times New Roman" w:eastAsia="宋体"/>
                <w:sz w:val="20"/>
              </w:rPr>
              <w:t>异常变体合计约9.5%，其中“长时间停滞”型4.6%集中于运营早期</w:t>
            </w:r>
          </w:p>
        </w:tc>
        <w:tc>
          <w:tcPr>
            <w:tcW w:type="dxa" w:w="2871"/>
          </w:tcPr>
          <w:p>
            <w:r/>
            <w:r>
              <w:rPr>
                <w:rFonts w:ascii="Times New Roman" w:hAnsi="Times New Roman" w:eastAsia="宋体"/>
                <w:sz w:val="20"/>
              </w:rPr>
              <w:t>系统支持层·平台与院区HIS间数据同步</w:t>
            </w:r>
          </w:p>
        </w:tc>
        <w:tc>
          <w:tcPr>
            <w:tcW w:type="dxa" w:w="2871"/>
          </w:tcPr>
          <w:p>
            <w:r/>
            <w:r>
              <w:rPr>
                <w:rFonts w:ascii="Times New Roman" w:hAnsi="Times New Roman" w:eastAsia="宋体"/>
                <w:sz w:val="20"/>
              </w:rPr>
              <w:t>断点7（≈B4）</w:t>
            </w:r>
          </w:p>
        </w:tc>
      </w:tr>
      <w:tr>
        <w:tc>
          <w:tcPr>
            <w:tcW w:type="dxa" w:w="2871"/>
          </w:tcPr>
          <w:p>
            <w:r/>
            <w:r>
              <w:rPr>
                <w:rFonts w:ascii="Times New Roman" w:hAnsi="Times New Roman" w:eastAsia="宋体"/>
                <w:sz w:val="20"/>
              </w:rPr>
              <w:t>跨院区记录分散：三厂商五版本HIS并存、患者/药品/检查编码不统一（第三章第四节）</w:t>
            </w:r>
          </w:p>
        </w:tc>
        <w:tc>
          <w:tcPr>
            <w:tcW w:type="dxa" w:w="2871"/>
          </w:tcPr>
          <w:p>
            <w:r/>
            <w:r>
              <w:rPr>
                <w:rFonts w:ascii="Times New Roman" w:hAnsi="Times New Roman" w:eastAsia="宋体"/>
                <w:sz w:val="20"/>
              </w:rPr>
              <w:t>系统支持层·前置机接口、PACS影像、药品目录</w:t>
            </w:r>
          </w:p>
        </w:tc>
        <w:tc>
          <w:tcPr>
            <w:tcW w:type="dxa" w:w="2871"/>
          </w:tcPr>
          <w:p>
            <w:r/>
            <w:r>
              <w:rPr>
                <w:rFonts w:ascii="Times New Roman" w:hAnsi="Times New Roman" w:eastAsia="宋体"/>
                <w:sz w:val="20"/>
              </w:rPr>
              <w:t>断点5、6、8（≈B4、B6）</w:t>
            </w:r>
          </w:p>
        </w:tc>
      </w:tr>
    </w:tbl>
    <w:p/>
    <w:p>
      <w:pPr>
        <w:spacing w:line="240" w:lineRule="auto" w:before="0" w:after="120"/>
      </w:pPr>
      <w:r>
        <w:rPr>
          <w:rFonts w:ascii="Times New Roman" w:hAnsi="Times New Roman" w:eastAsia="宋体"/>
          <w:b w:val="0"/>
          <w:sz w:val="21"/>
        </w:rPr>
        <w:t>注：“≈B”表示该断点主题与相应AHP瓶颈编码近似对应；断点编号与图5.1中的标注一致，AHP综合得分见表4.10。</w:t>
      </w:r>
    </w:p>
    <w:p>
      <w:pPr>
        <w:spacing w:line="240" w:lineRule="auto" w:before="240" w:after="120"/>
        <w:ind w:firstLine="480"/>
        <w:outlineLvl w:val="3"/>
      </w:pPr>
      <w:r>
        <w:rPr>
          <w:rFonts w:ascii="Times New Roman" w:hAnsi="Times New Roman" w:eastAsia="黑体"/>
          <w:b/>
          <w:sz w:val="24"/>
        </w:rPr>
        <w:t>（一）患者行为层</w:t>
      </w:r>
    </w:p>
    <w:p>
      <w:pPr>
        <w:spacing w:line="400" w:lineRule="exact" w:before="0" w:after="0"/>
        <w:ind w:firstLine="480"/>
        <w:jc w:val="both"/>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第四章第二节中识别的第一个等待瓶颈，平均等待时间为6.5分钟，P90达15.2分钟。第五步，医生接诊后进行在线交流，获得初步诊断意见。第六步，根据医生建议，进行以下分支操作：若需用药，则等待处方开具和审核，选择取药方式；若需检查，则在线预约检查时段（检查预约平均耗时2.4小时），按预约时间前往线下检查科室（检查预约至报告出具平均38.5小时，P90达96小时，见第四章表4.6）。第七步，查看检查报告或确认取药信息，服务流程结束。</w:t>
      </w:r>
    </w:p>
    <w:p>
      <w:pPr>
        <w:spacing w:line="400" w:lineRule="exact" w:before="0" w:after="0"/>
        <w:ind w:firstLine="480"/>
        <w:jc w:val="both"/>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pPr>
        <w:spacing w:line="240" w:lineRule="auto" w:before="240" w:after="120"/>
        <w:ind w:firstLine="480"/>
        <w:outlineLvl w:val="3"/>
      </w:pPr>
      <w:r>
        <w:rPr>
          <w:rFonts w:ascii="Times New Roman" w:hAnsi="Times New Roman" w:eastAsia="黑体"/>
          <w:b/>
          <w:sz w:val="24"/>
        </w:rPr>
        <w:t>（二）后台操作层</w:t>
      </w:r>
    </w:p>
    <w:p>
      <w:pPr>
        <w:spacing w:line="400" w:lineRule="exact" w:before="0" w:after="0"/>
        <w:ind w:firstLine="480"/>
        <w:jc w:val="both"/>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处方审核平均耗时8.0分钟，但标准差达15.3分钟（第四章表4.6），审核时长波动显著。检查科室人员的操作包括：查看检查预约列表，准备检查设备和耗材，为患者进行检查，出具和上传检查报告。</w:t>
      </w:r>
    </w:p>
    <w:p>
      <w:pPr>
        <w:spacing w:line="400" w:lineRule="exact" w:before="0" w:after="0"/>
        <w:ind w:firstLine="480"/>
        <w:jc w:val="both"/>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pPr>
        <w:spacing w:line="240" w:lineRule="auto" w:before="240" w:after="120"/>
        <w:ind w:firstLine="480"/>
        <w:outlineLvl w:val="3"/>
      </w:pPr>
      <w:r>
        <w:rPr>
          <w:rFonts w:ascii="Times New Roman" w:hAnsi="Times New Roman" w:eastAsia="黑体"/>
          <w:b/>
          <w:sz w:val="24"/>
        </w:rPr>
        <w:t>（三）系统支持层</w:t>
      </w:r>
    </w:p>
    <w:p>
      <w:pPr>
        <w:spacing w:line="400" w:lineRule="exact" w:before="0" w:after="0"/>
        <w:ind w:firstLine="480"/>
        <w:jc w:val="both"/>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统一管理平台、各院区HIS系统、LIS系统、PACS系统、药品调配系统（对接集团连锁药房ERP）、第三方物流配送系统和医保结算系统。</w:t>
      </w:r>
    </w:p>
    <w:p>
      <w:pPr>
        <w:spacing w:line="400" w:lineRule="exact" w:before="0" w:after="0"/>
        <w:ind w:firstLine="480"/>
        <w:jc w:val="both"/>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且各院区数据同步时效不一（医院A、B为准实时、延迟小于5分钟，医院C因前置机适配为T+1次日同步，见第三章第四节）；（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pPr>
        <w:spacing w:line="240" w:lineRule="auto" w:before="240" w:after="120"/>
        <w:ind w:firstLine="520"/>
        <w:outlineLvl w:val="2"/>
      </w:pPr>
      <w:r>
        <w:rPr>
          <w:rFonts w:ascii="Times New Roman" w:hAnsi="Times New Roman" w:eastAsia="黑体"/>
          <w:b/>
          <w:sz w:val="26"/>
        </w:rPr>
        <w:t>二、线上线下一体化流程再造</w:t>
      </w:r>
    </w:p>
    <w:p>
      <w:pPr>
        <w:spacing w:line="400" w:lineRule="exact" w:before="0" w:after="0"/>
        <w:ind w:firstLine="480"/>
        <w:jc w:val="both"/>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pPr>
        <w:spacing w:line="240" w:lineRule="auto" w:before="240" w:after="120"/>
        <w:ind w:firstLine="480"/>
        <w:outlineLvl w:val="3"/>
      </w:pPr>
      <w:r>
        <w:rPr>
          <w:rFonts w:ascii="Times New Roman" w:hAnsi="Times New Roman" w:eastAsia="黑体"/>
          <w:b/>
          <w:sz w:val="24"/>
        </w:rPr>
        <w:t>（一）问诊-检查闭环优化方案</w:t>
      </w:r>
    </w:p>
    <w:p>
      <w:pPr>
        <w:jc w:val="center"/>
      </w:pPr>
      <w:r>
        <w:drawing>
          <wp:inline xmlns:a="http://schemas.openxmlformats.org/drawingml/2006/main" xmlns:pic="http://schemas.openxmlformats.org/drawingml/2006/picture">
            <wp:extent cx="5040000" cy="3074271"/>
            <wp:docPr id="18" name="Picture 18"/>
            <wp:cNvGraphicFramePr>
              <a:graphicFrameLocks noChangeAspect="1"/>
            </wp:cNvGraphicFramePr>
            <a:graphic>
              <a:graphicData uri="http://schemas.openxmlformats.org/drawingml/2006/picture">
                <pic:pic>
                  <pic:nvPicPr>
                    <pic:cNvPr id="0" name="图5.2-优化后业务流程图.png"/>
                    <pic:cNvPicPr/>
                  </pic:nvPicPr>
                  <pic:blipFill>
                    <a:blip r:embed="rId28"/>
                    <a:stretch>
                      <a:fillRect/>
                    </a:stretch>
                  </pic:blipFill>
                  <pic:spPr>
                    <a:xfrm>
                      <a:off x="0" y="0"/>
                      <a:ext cx="5040000" cy="3074271"/>
                    </a:xfrm>
                    <a:prstGeom prst="rect"/>
                  </pic:spPr>
                </pic:pic>
              </a:graphicData>
            </a:graphic>
          </wp:inline>
        </w:drawing>
      </w:r>
    </w:p>
    <w:p>
      <w:pPr>
        <w:spacing w:line="240" w:lineRule="auto" w:before="120" w:after="240"/>
        <w:jc w:val="center"/>
      </w:pPr>
      <w:r>
        <w:rPr>
          <w:rFonts w:ascii="Times New Roman" w:hAnsi="Times New Roman" w:eastAsia="宋体"/>
          <w:b w:val="0"/>
          <w:sz w:val="21"/>
        </w:rPr>
        <w:t>图5.2　优化后业务流程图</w:t>
      </w:r>
    </w:p>
    <w:p>
      <w:pPr>
        <w:spacing w:line="400" w:lineRule="exact" w:before="0" w:after="0"/>
        <w:ind w:firstLine="480"/>
        <w:jc w:val="both"/>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pPr>
        <w:spacing w:line="400" w:lineRule="exact" w:before="0" w:after="0"/>
        <w:ind w:firstLine="480"/>
        <w:jc w:val="both"/>
      </w:pPr>
      <w:r>
        <w:rPr>
          <w:rFonts w:ascii="Times New Roman" w:hAnsi="Times New Roman" w:eastAsia="宋体"/>
          <w:b w:val="0"/>
          <w:sz w:val="24"/>
        </w:rPr>
        <w:t>第一项举措是建立统一检查预约资源池。在管理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w:t>
      </w:r>
    </w:p>
    <w:p>
      <w:pPr>
        <w:spacing w:line="400" w:lineRule="exact" w:before="0" w:after="0"/>
        <w:ind w:firstLine="480"/>
        <w:jc w:val="both"/>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pPr>
        <w:spacing w:line="400" w:lineRule="exact" w:before="0" w:after="0"/>
        <w:ind w:firstLine="480"/>
        <w:jc w:val="both"/>
      </w:pPr>
      <w:r>
        <w:rPr>
          <w:rFonts w:ascii="Times New Roman" w:hAnsi="Times New Roman" w:eastAsia="宋体"/>
          <w:b w:val="0"/>
          <w:sz w:val="24"/>
        </w:rPr>
        <w:t>检查结果的自动回传和智能提醒紧随其后。检查一完成，系统就把文字报告和影像链接推送至平台，同步以短信或站内消息通知患者。需要复诊的患者，在报告上传后会收到自动生成的复诊提醒和可预约的复诊时段；异常检查结果则在医生端以高优先级标记展示，确保得到及时处理。</w:t>
      </w:r>
    </w:p>
    <w:p>
      <w:pPr>
        <w:spacing w:line="400" w:lineRule="exact" w:before="0" w:after="0"/>
        <w:ind w:firstLine="480"/>
        <w:jc w:val="both"/>
      </w:pPr>
      <w:r>
        <w:rPr>
          <w:rFonts w:ascii="Times New Roman" w:hAnsi="Times New Roman" w:eastAsia="宋体"/>
          <w:b w:val="0"/>
          <w:sz w:val="24"/>
        </w:rPr>
        <w:t>最后是跨院区检查结果互认。集团层面制定统一的互认标准，明确哪些检查项目的结果可以在不同院区之间直接互认，哪些需要补充或重新检查；技术上，在管理平台建立统一的检查结果索引数据库，支撑各院区检查结果的跨院区调阅。患者不必要的重复检查因此减少，多院区协同的效率也随之提升。</w:t>
      </w:r>
    </w:p>
    <w:p>
      <w:pPr>
        <w:spacing w:line="240" w:lineRule="auto" w:before="240" w:after="120"/>
        <w:ind w:firstLine="480"/>
        <w:outlineLvl w:val="3"/>
      </w:pPr>
      <w:r>
        <w:rPr>
          <w:rFonts w:ascii="Times New Roman" w:hAnsi="Times New Roman" w:eastAsia="黑体"/>
          <w:b/>
          <w:sz w:val="24"/>
        </w:rPr>
        <w:t>（二）处方-取药链路打通方案</w:t>
      </w:r>
    </w:p>
    <w:p>
      <w:pPr>
        <w:spacing w:line="400" w:lineRule="exact" w:before="0" w:after="0"/>
        <w:ind w:firstLine="480"/>
        <w:jc w:val="both"/>
      </w:pPr>
      <w:r>
        <w:rPr>
          <w:rFonts w:ascii="Times New Roman" w:hAnsi="Times New Roman" w:eastAsia="宋体"/>
          <w:b w:val="0"/>
          <w:sz w:val="24"/>
        </w:rPr>
        <w:t>本方案针对处方开具后取药环节的效率和体验问题，优化线上处方流转到线下取药或配送的全链路。</w:t>
      </w:r>
    </w:p>
    <w:p>
      <w:pPr>
        <w:spacing w:line="400" w:lineRule="exact" w:before="0" w:after="0"/>
        <w:ind w:firstLine="480"/>
        <w:jc w:val="both"/>
      </w:pPr>
      <w:r>
        <w:rPr>
          <w:rFonts w:ascii="Times New Roman" w:hAnsi="Times New Roman" w:eastAsia="宋体"/>
          <w:b w:val="0"/>
          <w:sz w:val="24"/>
        </w:rPr>
        <w:t>三类处方流转场景的差异化优化是方案的主体。“到店”场景的重心放在平台与药店ERP系统的深度对接上：开具的处方单可以实时和处方监管平台及药房互通，处方状态能够实时同步（含医保报销后自付金额）。“到院”场景靠一个处方拆分规则引擎：嵌入HIS系统后，按药品类型（普通药品/特殊管理药品/冷链药品）和患者偏好自动推荐最优取药路径；明确标注药品取药地点是院内药房还是院外合作药房，减少患者在院内的无效等待。“到线”场景的突破口是医保在线支付的全面覆盖，支持不同险种（职工医保、居民医保）和多统筹地区的在线结算，消除患者因医保支付障碍而放弃配送到家的情况，支持患者线上选择不同合作药房进行取药或进行药品配送服务。</w:t>
      </w:r>
    </w:p>
    <w:p>
      <w:pPr>
        <w:spacing w:line="400" w:lineRule="exact" w:before="0" w:after="0"/>
        <w:ind w:firstLine="480"/>
        <w:jc w:val="both"/>
      </w:pPr>
      <w:r>
        <w:rPr>
          <w:rFonts w:ascii="Times New Roman" w:hAnsi="Times New Roman" w:eastAsia="宋体"/>
          <w:b w:val="0"/>
          <w:sz w:val="24"/>
        </w:rPr>
        <w:t>药品配送的全链路追溯体系同步升级。在现有配送跟踪的基础上，监控数据回传至平台，患者和药师都能实时查看。配送签收环节引入人脸识别技术，确保药品由患者本人或其授权人签收，压低药品安全风险。</w:t>
      </w:r>
    </w:p>
    <w:p>
      <w:pPr>
        <w:spacing w:line="400" w:lineRule="exact" w:before="0" w:after="0"/>
        <w:ind w:firstLine="480"/>
        <w:jc w:val="both"/>
      </w:pPr>
      <w:r>
        <w:rPr>
          <w:rFonts w:ascii="Times New Roman" w:hAnsi="Times New Roman" w:eastAsia="宋体"/>
          <w:b w:val="0"/>
          <w:sz w:val="24"/>
        </w:rPr>
        <w:t>此外，患者端和医生端都能看到处方流转的全流程状态——处方审核进度、药品调配状态、物流位置、预计送达时间，既支持患者主动查询，也支持系统自动推送。</w:t>
      </w:r>
    </w:p>
    <w:p>
      <w:pPr>
        <w:spacing w:line="240" w:lineRule="auto" w:before="240" w:after="120"/>
        <w:ind w:firstLine="480"/>
        <w:outlineLvl w:val="3"/>
      </w:pPr>
      <w:r>
        <w:rPr>
          <w:rFonts w:ascii="Times New Roman" w:hAnsi="Times New Roman" w:eastAsia="黑体"/>
          <w:b/>
          <w:sz w:val="24"/>
        </w:rPr>
        <w:t>（三）智能分导诊系统</w:t>
      </w:r>
    </w:p>
    <w:p>
      <w:pPr>
        <w:spacing w:line="400" w:lineRule="exact" w:before="0" w:after="0"/>
        <w:ind w:firstLine="480"/>
        <w:jc w:val="both"/>
      </w:pPr>
      <w:r>
        <w:rPr>
          <w:rFonts w:ascii="Times New Roman" w:hAnsi="Times New Roman" w:eastAsia="宋体"/>
          <w:b w:val="0"/>
          <w:sz w:val="24"/>
        </w:rPr>
        <w:t>本方案从服务入口端入手，优化患者的就医路径选择，减少信息不对称导致的低效就诊和流程返工。</w:t>
      </w:r>
    </w:p>
    <w:p>
      <w:pPr>
        <w:spacing w:line="400" w:lineRule="exact" w:before="0" w:after="0"/>
        <w:ind w:firstLine="480"/>
        <w:jc w:val="both"/>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pPr>
        <w:spacing w:line="400" w:lineRule="exact" w:before="0" w:after="0"/>
        <w:ind w:firstLine="480"/>
        <w:jc w:val="both"/>
      </w:pPr>
      <w:r>
        <w:rPr>
          <w:rFonts w:ascii="Times New Roman" w:hAnsi="Times New Roman" w:eastAsia="宋体"/>
          <w:b w:val="0"/>
          <w:sz w:val="24"/>
        </w:rPr>
        <w:t>完善常见病和慢病的快捷复诊通道。高血压、糖尿病等常见慢病的复诊患者不必重新填写完整的问诊信息，系统自动调取最近一次就诊记录和用药情况，患者只需确认是否有变化并提交续方申请。复诊的操作步骤从常规的6-8步缩短为2-3步，门槛明显降了下来。</w:t>
      </w:r>
    </w:p>
    <w:p>
      <w:pPr>
        <w:spacing w:line="240" w:lineRule="auto" w:before="240" w:after="120"/>
        <w:ind w:firstLine="480"/>
        <w:outlineLvl w:val="3"/>
      </w:pPr>
      <w:r>
        <w:rPr>
          <w:rFonts w:ascii="Times New Roman" w:hAnsi="Times New Roman" w:eastAsia="黑体"/>
          <w:b/>
          <w:sz w:val="24"/>
        </w:rPr>
        <w:t>（四）线上线下信息同步与一致性保障</w:t>
      </w:r>
    </w:p>
    <w:p>
      <w:pPr>
        <w:spacing w:line="400" w:lineRule="exact" w:before="0" w:after="0"/>
        <w:ind w:firstLine="480"/>
        <w:jc w:val="both"/>
      </w:pPr>
      <w:r>
        <w:rPr>
          <w:rFonts w:ascii="Times New Roman" w:hAnsi="Times New Roman" w:eastAsia="宋体"/>
          <w:b w:val="0"/>
          <w:sz w:val="24"/>
        </w:rPr>
        <w:t>本方案是前述三个子方案的底层支撑，从数据层面确保线上线下信息的实时同步和一致性。</w:t>
      </w:r>
    </w:p>
    <w:p>
      <w:pPr>
        <w:spacing w:line="400" w:lineRule="exact" w:before="0" w:after="0"/>
        <w:ind w:firstLine="480"/>
        <w:jc w:val="both"/>
      </w:pPr>
      <w:r>
        <w:rPr>
          <w:rFonts w:ascii="Times New Roman" w:hAnsi="Times New Roman" w:eastAsia="宋体"/>
          <w:b w:val="0"/>
          <w:sz w:val="24"/>
        </w:rPr>
        <w:t>接口标准化先行。集团层面制定数据接口标准规范，要求各院区HIS系统向管理平台开放标准化的患者基本信息、就诊记录、处方记录、检查结果和药品库存数据接口；HIS系统存在异构的院区，通过前置机适配器完成数据格式转换，保证数据交互的兼容性。这一步是所有流程优化方案的技术前提。</w:t>
      </w:r>
    </w:p>
    <w:p>
      <w:pPr>
        <w:spacing w:line="400" w:lineRule="exact" w:before="0" w:after="0"/>
        <w:ind w:firstLine="480"/>
        <w:jc w:val="both"/>
      </w:pPr>
      <w:r>
        <w:rPr>
          <w:rFonts w:ascii="Times New Roman" w:hAnsi="Times New Roman" w:eastAsia="宋体"/>
          <w:b w:val="0"/>
          <w:sz w:val="24"/>
        </w:rPr>
        <w:t>在此之上建立主数据管理系统（MDM）：管理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pPr>
        <w:spacing w:line="400" w:lineRule="exact" w:before="0" w:after="0"/>
        <w:ind w:firstLine="480"/>
        <w:jc w:val="both"/>
      </w:pPr>
      <w:r>
        <w:rPr>
          <w:rFonts w:ascii="Times New Roman" w:hAnsi="Times New Roman" w:eastAsia="宋体"/>
          <w:b w:val="0"/>
          <w:sz w:val="24"/>
        </w:rPr>
        <w:t>同时，数据同步机制把当前部分院区的T+1（次日）数据同步升级为实时或准实时（5分钟以内延迟）同步，让平台上的患者信息、处方状态、检查结果和药品库存等关键数据与实际业务状态保持高度一致。</w:t>
      </w:r>
    </w:p>
    <w:p>
      <w:pPr>
        <w:spacing w:line="240" w:lineRule="auto" w:before="240" w:after="120"/>
        <w:ind w:firstLine="520"/>
        <w:outlineLvl w:val="2"/>
      </w:pPr>
      <w:r>
        <w:rPr>
          <w:rFonts w:ascii="Times New Roman" w:hAnsi="Times New Roman" w:eastAsia="黑体"/>
          <w:b/>
          <w:sz w:val="26"/>
        </w:rPr>
        <w:t>三、多院区协同机制设计</w:t>
      </w:r>
    </w:p>
    <w:p>
      <w:pPr>
        <w:spacing w:line="400" w:lineRule="exact" w:before="0" w:after="0"/>
        <w:ind w:firstLine="480"/>
        <w:jc w:val="both"/>
      </w:pPr>
      <w:r>
        <w:rPr>
          <w:rFonts w:ascii="Times New Roman" w:hAnsi="Times New Roman" w:eastAsia="宋体"/>
          <w:b w:val="0"/>
          <w:sz w:val="24"/>
        </w:rPr>
        <w:t>本方案针对AHP优先级排序中第二位的B4（多院区信息孤岛）问题，设计一套跨院区的协同运作机制。</w:t>
      </w:r>
    </w:p>
    <w:p>
      <w:pPr>
        <w:spacing w:line="240" w:lineRule="auto" w:before="240" w:after="120"/>
        <w:ind w:firstLine="480"/>
        <w:outlineLvl w:val="3"/>
      </w:pPr>
      <w:r>
        <w:rPr>
          <w:rFonts w:ascii="Times New Roman" w:hAnsi="Times New Roman" w:eastAsia="黑体"/>
          <w:b/>
          <w:sz w:val="24"/>
        </w:rPr>
        <w:t>（一）统一患者身份与数据互通</w:t>
      </w:r>
    </w:p>
    <w:p>
      <w:pPr>
        <w:jc w:val="center"/>
      </w:pPr>
      <w:r>
        <w:drawing>
          <wp:inline xmlns:a="http://schemas.openxmlformats.org/drawingml/2006/main" xmlns:pic="http://schemas.openxmlformats.org/drawingml/2006/picture">
            <wp:extent cx="5040000" cy="3594169"/>
            <wp:docPr id="19" name="Picture 19"/>
            <wp:cNvGraphicFramePr>
              <a:graphicFrameLocks noChangeAspect="1"/>
            </wp:cNvGraphicFramePr>
            <a:graphic>
              <a:graphicData uri="http://schemas.openxmlformats.org/drawingml/2006/picture">
                <pic:pic>
                  <pic:nvPicPr>
                    <pic:cNvPr id="0" name="图5.3-多院区协同架构.png"/>
                    <pic:cNvPicPr/>
                  </pic:nvPicPr>
                  <pic:blipFill>
                    <a:blip r:embed="rId29"/>
                    <a:stretch>
                      <a:fillRect/>
                    </a:stretch>
                  </pic:blipFill>
                  <pic:spPr>
                    <a:xfrm>
                      <a:off x="0" y="0"/>
                      <a:ext cx="5040000" cy="3594169"/>
                    </a:xfrm>
                    <a:prstGeom prst="rect"/>
                  </pic:spPr>
                </pic:pic>
              </a:graphicData>
            </a:graphic>
          </wp:inline>
        </w:drawing>
      </w:r>
    </w:p>
    <w:p>
      <w:pPr>
        <w:spacing w:line="240" w:lineRule="auto" w:before="120" w:after="240"/>
        <w:jc w:val="center"/>
      </w:pPr>
      <w:r>
        <w:rPr>
          <w:rFonts w:ascii="Times New Roman" w:hAnsi="Times New Roman" w:eastAsia="宋体"/>
          <w:b w:val="0"/>
          <w:sz w:val="21"/>
        </w:rPr>
        <w:t>图5.3　多院区协同架构</w:t>
      </w:r>
    </w:p>
    <w:p>
      <w:pPr>
        <w:spacing w:line="400" w:lineRule="exact" w:before="0" w:after="0"/>
        <w:ind w:firstLine="480"/>
        <w:jc w:val="both"/>
      </w:pPr>
      <w:r>
        <w:rPr>
          <w:rFonts w:ascii="Times New Roman" w:hAnsi="Times New Roman" w:eastAsia="宋体"/>
          <w:b w:val="0"/>
          <w:sz w:val="24"/>
        </w:rPr>
        <w:t>建立集团统一的患者身份标识体系。在管理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pPr>
        <w:spacing w:line="400" w:lineRule="exact" w:before="0" w:after="0"/>
        <w:ind w:firstLine="480"/>
        <w:jc w:val="both"/>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pPr>
        <w:spacing w:line="240" w:lineRule="auto" w:before="240" w:after="120"/>
        <w:ind w:firstLine="480"/>
        <w:outlineLvl w:val="3"/>
      </w:pPr>
      <w:r>
        <w:rPr>
          <w:rFonts w:ascii="Times New Roman" w:hAnsi="Times New Roman" w:eastAsia="黑体"/>
          <w:b/>
          <w:sz w:val="24"/>
        </w:rPr>
        <w:t>（二）跨院区资源调度与转诊机制</w:t>
      </w:r>
    </w:p>
    <w:p>
      <w:pPr>
        <w:spacing w:line="400" w:lineRule="exact" w:before="0" w:after="0"/>
        <w:ind w:firstLine="480"/>
        <w:jc w:val="both"/>
      </w:pPr>
      <w:r>
        <w:rPr>
          <w:rFonts w:ascii="Times New Roman" w:hAnsi="Times New Roman" w:eastAsia="宋体"/>
          <w:b w:val="0"/>
          <w:sz w:val="24"/>
        </w:rPr>
        <w:t>建立集团层面的跨院区资源调度平台。将相同机构不同院区的医生资源（特别是专家资源）、检查设备资源和药品库存资源进行统一登记和实时状态监控。当某院区的某类资源出现瓶颈（如某科室专家号源紧张）时，调度平台自动推荐其他院区的同类可用资源。</w:t>
      </w:r>
    </w:p>
    <w:p>
      <w:pPr>
        <w:spacing w:line="400" w:lineRule="exact" w:before="0" w:after="0"/>
        <w:ind w:firstLine="480"/>
        <w:jc w:val="both"/>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pPr>
        <w:spacing w:line="400" w:lineRule="exact" w:before="0" w:after="0"/>
        <w:ind w:firstLine="480"/>
        <w:jc w:val="both"/>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pPr>
        <w:spacing w:line="240" w:lineRule="auto" w:before="240" w:after="120"/>
        <w:ind w:firstLine="480"/>
        <w:outlineLvl w:val="3"/>
      </w:pPr>
      <w:r>
        <w:rPr>
          <w:rFonts w:ascii="Times New Roman" w:hAnsi="Times New Roman" w:eastAsia="黑体"/>
          <w:b/>
          <w:sz w:val="24"/>
        </w:rPr>
        <w:t>（三）集中化质控与分布式执行</w:t>
      </w:r>
    </w:p>
    <w:p>
      <w:pPr>
        <w:spacing w:line="400" w:lineRule="exact" w:before="0" w:after="0"/>
        <w:ind w:firstLine="480"/>
        <w:jc w:val="both"/>
      </w:pPr>
      <w:r>
        <w:rPr>
          <w:rFonts w:ascii="Times New Roman" w:hAnsi="Times New Roman" w:eastAsia="宋体"/>
          <w:b w:val="0"/>
          <w:sz w:val="24"/>
        </w:rPr>
        <w:t>构建“集团集中质控+院区分布式执行”的两级质量管理模式。集团层面在管理平台上建立统一的在线医疗服务质量标准和监控指标体系，对各院区的在线问诊质量、处方合格率、患者满意度等关键指标进行实时监控和定期排名。标准体系中包括：接诊时限标准（医生须在规定时间内接诊）、处方合规标准双审双签（处方须满足AI审核和人工审核，医生和药师双签名的双重合规要求）。需要强调的是，本方案中AI应用的定位严格限于“辅助”边界：AI智能审方引擎仅提供决策支持提示，最终审核结论由具有执业资质的医生和药师双电子签名确认；AI导诊仅提供分诊建议，诊疗决策始终由执业医师做出。这一“AI辅助、人工决策”的边界设计符合互联网诊疗与医疗人工智能应用的监管合规要求，也是本方案设计的伦理前提。标准体系中还包括患者反馈响应标准（患者投诉须在规定时间内得到响应和处理）和服务满意度基线的动态调整机制。</w:t>
      </w:r>
    </w:p>
    <w:p>
      <w:pPr>
        <w:spacing w:line="400" w:lineRule="exact" w:before="0" w:after="0"/>
        <w:ind w:firstLine="480"/>
        <w:jc w:val="both"/>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pPr>
        <w:spacing w:line="240" w:lineRule="auto" w:before="240" w:after="120"/>
        <w:ind w:firstLine="520"/>
        <w:outlineLvl w:val="2"/>
      </w:pPr>
      <w:r>
        <w:rPr>
          <w:rFonts w:ascii="Times New Roman" w:hAnsi="Times New Roman" w:eastAsia="黑体"/>
          <w:b/>
          <w:sz w:val="26"/>
        </w:rPr>
        <w:t>四、数据驱动的智能质控体系</w:t>
      </w:r>
    </w:p>
    <w:p>
      <w:pPr>
        <w:spacing w:line="400" w:lineRule="exact" w:before="0" w:after="0"/>
        <w:ind w:firstLine="480"/>
        <w:jc w:val="both"/>
      </w:pPr>
      <w:r>
        <w:rPr>
          <w:rFonts w:ascii="Times New Roman" w:hAnsi="Times New Roman" w:eastAsia="宋体"/>
          <w:b w:val="0"/>
          <w:sz w:val="24"/>
        </w:rPr>
        <w:t>本方案把数据驱动质控的理念落成具体设计，目标是让平台积累的运营数据变成实时的质量管理工具。</w:t>
      </w:r>
    </w:p>
    <w:p>
      <w:pPr>
        <w:spacing w:line="400" w:lineRule="exact" w:before="0" w:after="0"/>
        <w:ind w:firstLine="480"/>
        <w:jc w:val="both"/>
      </w:pPr>
      <w:r>
        <w:rPr>
          <w:rFonts w:ascii="Times New Roman" w:hAnsi="Times New Roman" w:eastAsia="宋体"/>
          <w:b w:val="0"/>
          <w:sz w:val="24"/>
        </w:rPr>
        <w:t>实时流程监控看板是第一件要做的事。基于管理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pPr>
        <w:spacing w:line="400" w:lineRule="exact" w:before="0" w:after="0"/>
        <w:ind w:firstLine="480"/>
        <w:jc w:val="both"/>
      </w:pPr>
      <w:r>
        <w:rPr>
          <w:rFonts w:ascii="Times New Roman" w:hAnsi="Times New Roman" w:eastAsia="宋体"/>
          <w:b w:val="0"/>
          <w:sz w:val="24"/>
        </w:rPr>
        <w:t>另外，建立基于规则的异常流程自动预警机制：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pPr>
        <w:spacing w:line="400" w:lineRule="exact" w:before="0" w:after="0"/>
        <w:ind w:firstLine="480"/>
        <w:jc w:val="both"/>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pPr>
        <w:spacing w:line="240" w:lineRule="auto" w:before="240" w:after="120"/>
        <w:ind w:firstLine="520"/>
        <w:outlineLvl w:val="2"/>
      </w:pPr>
      <w:r>
        <w:rPr>
          <w:rFonts w:ascii="Times New Roman" w:hAnsi="Times New Roman" w:eastAsia="黑体"/>
          <w:b/>
          <w:sz w:val="26"/>
        </w:rPr>
        <w:t>五、优化后服务蓝图</w:t>
      </w:r>
    </w:p>
    <w:p>
      <w:pPr>
        <w:spacing w:line="400" w:lineRule="exact" w:before="0" w:after="0"/>
        <w:ind w:firstLine="480"/>
        <w:jc w:val="both"/>
      </w:pPr>
      <w:r>
        <w:rPr>
          <w:rFonts w:ascii="Times New Roman" w:hAnsi="Times New Roman" w:eastAsia="宋体"/>
          <w:b w:val="0"/>
          <w:sz w:val="24"/>
        </w:rPr>
        <w:t>在完成上述三组优化方案设计后，绘制优化后的服务蓝图，与现状服务蓝图进行对比，以直观展示优化的效果。</w:t>
      </w:r>
    </w:p>
    <w:p>
      <w:pPr>
        <w:jc w:val="center"/>
      </w:pPr>
      <w:r>
        <w:drawing>
          <wp:inline xmlns:a="http://schemas.openxmlformats.org/drawingml/2006/main" xmlns:pic="http://schemas.openxmlformats.org/drawingml/2006/picture">
            <wp:extent cx="5040000" cy="3557647"/>
            <wp:docPr id="20" name="Picture 20"/>
            <wp:cNvGraphicFramePr>
              <a:graphicFrameLocks noChangeAspect="1"/>
            </wp:cNvGraphicFramePr>
            <a:graphic>
              <a:graphicData uri="http://schemas.openxmlformats.org/drawingml/2006/picture">
                <pic:pic>
                  <pic:nvPicPr>
                    <pic:cNvPr id="0" name="图5.4-优化后服务蓝图.png"/>
                    <pic:cNvPicPr/>
                  </pic:nvPicPr>
                  <pic:blipFill>
                    <a:blip r:embed="rId30"/>
                    <a:stretch>
                      <a:fillRect/>
                    </a:stretch>
                  </pic:blipFill>
                  <pic:spPr>
                    <a:xfrm>
                      <a:off x="0" y="0"/>
                      <a:ext cx="5040000" cy="3557647"/>
                    </a:xfrm>
                    <a:prstGeom prst="rect"/>
                  </pic:spPr>
                </pic:pic>
              </a:graphicData>
            </a:graphic>
          </wp:inline>
        </w:drawing>
      </w:r>
    </w:p>
    <w:p>
      <w:pPr>
        <w:spacing w:line="240" w:lineRule="auto" w:before="120" w:after="240"/>
        <w:jc w:val="center"/>
      </w:pPr>
      <w:r>
        <w:rPr>
          <w:rFonts w:ascii="Times New Roman" w:hAnsi="Times New Roman" w:eastAsia="宋体"/>
          <w:b w:val="0"/>
          <w:sz w:val="21"/>
        </w:rPr>
        <w:t>图5.4　优化后服务蓝图</w:t>
      </w:r>
    </w:p>
    <w:p>
      <w:pPr>
        <w:spacing w:line="400" w:lineRule="exact" w:before="0" w:after="0"/>
        <w:ind w:firstLine="480"/>
        <w:jc w:val="both"/>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pPr>
        <w:spacing w:line="400" w:lineRule="exact" w:before="0" w:after="0"/>
        <w:ind w:firstLine="480"/>
        <w:jc w:val="both"/>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pPr>
        <w:spacing w:line="400" w:lineRule="exact" w:before="0" w:after="0"/>
        <w:ind w:firstLine="480"/>
        <w:jc w:val="both"/>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pPr>
        <w:spacing w:line="400" w:lineRule="exact" w:before="0" w:after="0"/>
        <w:ind w:firstLine="480"/>
        <w:jc w:val="both"/>
      </w:pPr>
      <w:r>
        <w:rPr>
          <w:rFonts w:ascii="Times New Roman" w:hAnsi="Times New Roman" w:eastAsia="宋体"/>
          <w:b w:val="0"/>
          <w:sz w:val="24"/>
        </w:rPr>
        <w:t>上述三层变化并非无据可依：每一项变化都对应改进前事件日志的定量基线，并可由试点实测数据检验。表5.2把蓝图变化、日志基线与验证效果逐一接通，使蓝图设计与第四章诊断结论、本章第三节验证结果形成完整证据链。</w:t>
      </w:r>
    </w:p>
    <w:p>
      <w:pPr>
        <w:spacing w:line="240" w:lineRule="auto" w:before="120" w:after="120"/>
        <w:jc w:val="center"/>
      </w:pPr>
      <w:r>
        <w:rPr>
          <w:rFonts w:ascii="Times New Roman" w:hAnsi="Times New Roman" w:eastAsia="宋体"/>
          <w:b w:val="0"/>
          <w:sz w:val="21"/>
        </w:rPr>
        <w:t>表5.2　优化后蓝图变化与日志基线、验证效果的对应关系</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优化后蓝图变化（图5.4）</w:t>
            </w:r>
          </w:p>
        </w:tc>
        <w:tc>
          <w:tcPr>
            <w:tcW w:type="dxa" w:w="2871"/>
            <w:tcBorders>
              <w:bottom w:val="single" w:sz="12" w:space="0" w:color="000000"/>
            </w:tcBorders>
          </w:tcPr>
          <w:p>
            <w:pPr>
              <w:jc w:val="center"/>
            </w:pPr>
            <w:r/>
            <w:r>
              <w:rPr>
                <w:rFonts w:ascii="Times New Roman" w:hAnsi="Times New Roman" w:eastAsia="宋体"/>
                <w:b/>
                <w:sz w:val="20"/>
              </w:rPr>
              <w:t>改进前日志基线（第四章）</w:t>
            </w:r>
          </w:p>
        </w:tc>
        <w:tc>
          <w:tcPr>
            <w:tcW w:type="dxa" w:w="2871"/>
            <w:tcBorders>
              <w:bottom w:val="single" w:sz="12" w:space="0" w:color="000000"/>
            </w:tcBorders>
          </w:tcPr>
          <w:p>
            <w:pPr>
              <w:jc w:val="center"/>
            </w:pPr>
            <w:r/>
            <w:r>
              <w:rPr>
                <w:rFonts w:ascii="Times New Roman" w:hAnsi="Times New Roman" w:eastAsia="宋体"/>
                <w:b/>
                <w:sz w:val="20"/>
              </w:rPr>
              <w:t>试点实测效果（本章第三节）</w:t>
            </w:r>
          </w:p>
        </w:tc>
      </w:tr>
      <w:tr>
        <w:tc>
          <w:tcPr>
            <w:tcW w:type="dxa" w:w="2871"/>
          </w:tcPr>
          <w:p>
            <w:r/>
            <w:r>
              <w:rPr>
                <w:rFonts w:ascii="Times New Roman" w:hAnsi="Times New Roman" w:eastAsia="宋体"/>
                <w:sz w:val="20"/>
              </w:rPr>
              <w:t>患者层：智能导诊、实时负荷分流与等待进度提示</w:t>
            </w:r>
          </w:p>
        </w:tc>
        <w:tc>
          <w:tcPr>
            <w:tcW w:type="dxa" w:w="2871"/>
          </w:tcPr>
          <w:p>
            <w:r/>
            <w:r>
              <w:rPr>
                <w:rFonts w:ascii="Times New Roman" w:hAnsi="Times New Roman" w:eastAsia="宋体"/>
                <w:sz w:val="20"/>
              </w:rPr>
              <w:t>接诊等待6.5分钟、P90达15.2分钟（表4.7）</w:t>
            </w:r>
          </w:p>
        </w:tc>
        <w:tc>
          <w:tcPr>
            <w:tcW w:type="dxa" w:w="2871"/>
          </w:tcPr>
          <w:p>
            <w:r/>
            <w:r>
              <w:rPr>
                <w:rFonts w:ascii="Times New Roman" w:hAnsi="Times New Roman" w:eastAsia="宋体"/>
                <w:sz w:val="20"/>
              </w:rPr>
              <w:t>接诊等待降至4.2分钟，DID净效果-32.5%（表5.3）</w:t>
            </w:r>
          </w:p>
        </w:tc>
      </w:tr>
      <w:tr>
        <w:tc>
          <w:tcPr>
            <w:tcW w:type="dxa" w:w="2871"/>
          </w:tcPr>
          <w:p>
            <w:r/>
            <w:r>
              <w:rPr>
                <w:rFonts w:ascii="Times New Roman" w:hAnsi="Times New Roman" w:eastAsia="宋体"/>
                <w:sz w:val="20"/>
              </w:rPr>
              <w:t>患者层／后台层：统一检查预约资源池、扫码签到、跨院区资源推荐</w:t>
            </w:r>
          </w:p>
        </w:tc>
        <w:tc>
          <w:tcPr>
            <w:tcW w:type="dxa" w:w="2871"/>
          </w:tcPr>
          <w:p>
            <w:r/>
            <w:r>
              <w:rPr>
                <w:rFonts w:ascii="Times New Roman" w:hAnsi="Times New Roman" w:eastAsia="宋体"/>
                <w:sz w:val="20"/>
              </w:rPr>
              <w:t>检查预约2.4小时、检查完成38.5小时、P90达96小时（表4.6）</w:t>
            </w:r>
          </w:p>
        </w:tc>
        <w:tc>
          <w:tcPr>
            <w:tcW w:type="dxa" w:w="2871"/>
          </w:tcPr>
          <w:p>
            <w:r/>
            <w:r>
              <w:rPr>
                <w:rFonts w:ascii="Times New Roman" w:hAnsi="Times New Roman" w:eastAsia="宋体"/>
                <w:sz w:val="20"/>
              </w:rPr>
              <w:t>预约→完成周期28.3小时、DID-29.1%；跨院区检查预约占比0→8.3%（表5.3、表5.4）</w:t>
            </w:r>
          </w:p>
        </w:tc>
      </w:tr>
      <w:tr>
        <w:tc>
          <w:tcPr>
            <w:tcW w:type="dxa" w:w="2871"/>
          </w:tcPr>
          <w:p>
            <w:r/>
            <w:r>
              <w:rPr>
                <w:rFonts w:ascii="Times New Roman" w:hAnsi="Times New Roman" w:eastAsia="宋体"/>
                <w:sz w:val="20"/>
              </w:rPr>
              <w:t>后台层：AI审方实时提示、跨院区用药史调阅</w:t>
            </w:r>
          </w:p>
        </w:tc>
        <w:tc>
          <w:tcPr>
            <w:tcW w:type="dxa" w:w="2871"/>
          </w:tcPr>
          <w:p>
            <w:r/>
            <w:r>
              <w:rPr>
                <w:rFonts w:ascii="Times New Roman" w:hAnsi="Times New Roman" w:eastAsia="宋体"/>
                <w:sz w:val="20"/>
              </w:rPr>
              <w:t>处方审核8.0分钟、标准差15.3分钟；返工率6.2%（表4.6）</w:t>
            </w:r>
          </w:p>
        </w:tc>
        <w:tc>
          <w:tcPr>
            <w:tcW w:type="dxa" w:w="2871"/>
          </w:tcPr>
          <w:p>
            <w:r/>
            <w:r>
              <w:rPr>
                <w:rFonts w:ascii="Times New Roman" w:hAnsi="Times New Roman" w:eastAsia="宋体"/>
                <w:sz w:val="20"/>
              </w:rPr>
              <w:t>处方审核5.8分钟、DID-26.2%；返工率3.8%、DID-2.3个百分点（表5.3）</w:t>
            </w:r>
          </w:p>
        </w:tc>
      </w:tr>
      <w:tr>
        <w:tc>
          <w:tcPr>
            <w:tcW w:type="dxa" w:w="2871"/>
          </w:tcPr>
          <w:p>
            <w:r/>
            <w:r>
              <w:rPr>
                <w:rFonts w:ascii="Times New Roman" w:hAnsi="Times New Roman" w:eastAsia="宋体"/>
                <w:sz w:val="20"/>
              </w:rPr>
              <w:t>患者层：三类处方流转场景差异化优化、医保在线支付全覆盖</w:t>
            </w:r>
          </w:p>
        </w:tc>
        <w:tc>
          <w:tcPr>
            <w:tcW w:type="dxa" w:w="2871"/>
          </w:tcPr>
          <w:p>
            <w:r/>
            <w:r>
              <w:rPr>
                <w:rFonts w:ascii="Times New Roman" w:hAnsi="Times New Roman" w:eastAsia="宋体"/>
                <w:sz w:val="20"/>
              </w:rPr>
              <w:t>审核通过→取药选择等待5.1分钟、取药环节15.3分钟（表4.6、表4.7）</w:t>
            </w:r>
          </w:p>
        </w:tc>
        <w:tc>
          <w:tcPr>
            <w:tcW w:type="dxa" w:w="2871"/>
          </w:tcPr>
          <w:p>
            <w:r/>
            <w:r>
              <w:rPr>
                <w:rFonts w:ascii="Times New Roman" w:hAnsi="Times New Roman" w:eastAsia="宋体"/>
                <w:sz w:val="20"/>
              </w:rPr>
              <w:t>处方→取药13.1分钟、DID-33.4%；配送到家选择率23%→31%（表5.3、表5.4）</w:t>
            </w:r>
          </w:p>
        </w:tc>
      </w:tr>
      <w:tr>
        <w:tc>
          <w:tcPr>
            <w:tcW w:type="dxa" w:w="2871"/>
          </w:tcPr>
          <w:p>
            <w:r/>
            <w:r>
              <w:rPr>
                <w:rFonts w:ascii="Times New Roman" w:hAnsi="Times New Roman" w:eastAsia="宋体"/>
                <w:sz w:val="20"/>
              </w:rPr>
              <w:t>系统层：实时/准实时数据同步、跨院区主数据管理（MDM）</w:t>
            </w:r>
          </w:p>
        </w:tc>
        <w:tc>
          <w:tcPr>
            <w:tcW w:type="dxa" w:w="2871"/>
          </w:tcPr>
          <w:p>
            <w:r/>
            <w:r>
              <w:rPr>
                <w:rFonts w:ascii="Times New Roman" w:hAnsi="Times New Roman" w:eastAsia="宋体"/>
                <w:sz w:val="20"/>
              </w:rPr>
              <w:t>医院C为T+1同步；三厂商五版本HIS、编码不统一（第三章第四节）</w:t>
            </w:r>
          </w:p>
        </w:tc>
        <w:tc>
          <w:tcPr>
            <w:tcW w:type="dxa" w:w="2871"/>
          </w:tcPr>
          <w:p>
            <w:r/>
            <w:r>
              <w:rPr>
                <w:rFonts w:ascii="Times New Roman" w:hAnsi="Times New Roman" w:eastAsia="宋体"/>
                <w:sz w:val="20"/>
              </w:rPr>
              <w:t>跨院区数据打通：检查设备日均利用率62%→71%（表5.4）</w:t>
            </w:r>
          </w:p>
        </w:tc>
      </w:tr>
      <w:tr>
        <w:tc>
          <w:tcPr>
            <w:tcW w:type="dxa" w:w="2871"/>
          </w:tcPr>
          <w:p>
            <w:r/>
            <w:r>
              <w:rPr>
                <w:rFonts w:ascii="Times New Roman" w:hAnsi="Times New Roman" w:eastAsia="宋体"/>
                <w:sz w:val="20"/>
              </w:rPr>
              <w:t>系统层：异常流程自动预警引擎、实时监控看板（PDCA）</w:t>
            </w:r>
          </w:p>
        </w:tc>
        <w:tc>
          <w:tcPr>
            <w:tcW w:type="dxa" w:w="2871"/>
          </w:tcPr>
          <w:p>
            <w:r/>
            <w:r>
              <w:rPr>
                <w:rFonts w:ascii="Times New Roman" w:hAnsi="Times New Roman" w:eastAsia="宋体"/>
                <w:sz w:val="20"/>
              </w:rPr>
              <w:t>异常变体合计约9.5%、“长时间停滞”型4.6%（第四章第二节）</w:t>
            </w:r>
          </w:p>
        </w:tc>
        <w:tc>
          <w:tcPr>
            <w:tcW w:type="dxa" w:w="2871"/>
          </w:tcPr>
          <w:p>
            <w:r/>
            <w:r>
              <w:rPr>
                <w:rFonts w:ascii="Times New Roman" w:hAnsi="Times New Roman" w:eastAsia="宋体"/>
                <w:sz w:val="20"/>
              </w:rPr>
              <w:t>主动投诉率2.8%→1.5%、整体满意度3.8分→4.3分（表5.5）</w:t>
            </w:r>
          </w:p>
        </w:tc>
      </w:tr>
    </w:tbl>
    <w:p/>
    <w:p>
      <w:pPr>
        <w:spacing w:line="240" w:lineRule="auto" w:before="0" w:after="120"/>
      </w:pPr>
      <w:r>
        <w:rPr>
          <w:rFonts w:ascii="Times New Roman" w:hAnsi="Times New Roman" w:eastAsia="宋体"/>
          <w:b w:val="0"/>
          <w:sz w:val="21"/>
        </w:rPr>
        <w:t>注：DID净效果均已扣除对照组（医院B本部）同期变化；效果归因详见本章第三节“四、优化效果讨论”。</w:t>
      </w:r>
    </w:p>
    <w:p>
      <w:pPr>
        <w:spacing w:line="400" w:lineRule="exact" w:before="0" w:after="0"/>
        <w:ind w:firstLine="480"/>
        <w:jc w:val="both"/>
      </w:pPr>
      <w:r>
        <w:rPr>
          <w:rFonts w:ascii="Times New Roman" w:hAnsi="Times New Roman" w:eastAsia="宋体"/>
          <w:b w:val="0"/>
          <w:sz w:val="24"/>
        </w:rPr>
        <w:t>优化后的服务蓝图（图5.4）与现状服务蓝图（图5.1）进行并列对比。两者对比将清晰地呈现：流程断点是否被消除、患者等待时间是否缩短、跨院区数据是否打通、质控预警机制是否建立。这为本章第三节的试点验证提供明确的评估对照基准。</w:t>
      </w:r>
    </w:p>
    <w:p>
      <w:pPr>
        <w:spacing w:line="240" w:lineRule="auto" w:before="480" w:after="120"/>
        <w:jc w:val="center"/>
        <w:outlineLvl w:val="1"/>
      </w:pPr>
      <w:r>
        <w:rPr>
          <w:rFonts w:ascii="Times New Roman" w:hAnsi="Times New Roman" w:eastAsia="黑体"/>
          <w:b/>
          <w:sz w:val="28"/>
        </w:rPr>
        <w:t>第三节　试点验证与效果评估</w:t>
      </w:r>
    </w:p>
    <w:p>
      <w:pPr>
        <w:spacing w:line="400" w:lineRule="exact" w:before="0" w:after="0"/>
        <w:ind w:firstLine="480"/>
        <w:jc w:val="both"/>
      </w:pPr>
      <w:r>
        <w:rPr>
          <w:rFonts w:ascii="Times New Roman" w:hAnsi="Times New Roman" w:eastAsia="宋体"/>
          <w:b w:val="0"/>
          <w:sz w:val="24"/>
        </w:rPr>
        <w:t>优化方案是否有效，要靠数据来检验。本节按准实验设计，在标杆院区（医院A）落地本章第二节的方案，再用优化前后的数据对比和AHP综合评价，定量检验实际效果。</w:t>
      </w:r>
    </w:p>
    <w:p>
      <w:pPr>
        <w:spacing w:line="240" w:lineRule="auto" w:before="240" w:after="120"/>
        <w:ind w:firstLine="520"/>
        <w:outlineLvl w:val="2"/>
      </w:pPr>
      <w:r>
        <w:rPr>
          <w:rFonts w:ascii="Times New Roman" w:hAnsi="Times New Roman" w:eastAsia="黑体"/>
          <w:b/>
          <w:sz w:val="26"/>
        </w:rPr>
        <w:t>一、试点实施过程</w:t>
      </w:r>
    </w:p>
    <w:p>
      <w:pPr>
        <w:spacing w:line="240" w:lineRule="auto" w:before="240" w:after="120"/>
        <w:ind w:firstLine="480"/>
        <w:outlineLvl w:val="3"/>
      </w:pPr>
      <w:r>
        <w:rPr>
          <w:rFonts w:ascii="Times New Roman" w:hAnsi="Times New Roman" w:eastAsia="黑体"/>
          <w:b/>
          <w:sz w:val="24"/>
        </w:rPr>
        <w:t>（一）试点院区与流程选择</w:t>
      </w:r>
    </w:p>
    <w:p>
      <w:pPr>
        <w:spacing w:line="400" w:lineRule="exact" w:before="0" w:after="0"/>
        <w:ind w:firstLine="480"/>
        <w:jc w:val="both"/>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pPr>
        <w:spacing w:line="400" w:lineRule="exact" w:before="0" w:after="0"/>
        <w:ind w:firstLine="480"/>
        <w:jc w:val="both"/>
      </w:pPr>
      <w:r>
        <w:rPr>
          <w:rFonts w:ascii="Times New Roman" w:hAnsi="Times New Roman" w:eastAsia="宋体"/>
          <w:b w:val="0"/>
          <w:sz w:val="24"/>
        </w:rPr>
        <w:t>对照组选取医院B本部（不含其D、E分院区，分院区数据在平台统计中单列）。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pPr>
        <w:spacing w:line="240" w:lineRule="auto" w:before="240" w:after="120"/>
        <w:ind w:firstLine="480"/>
        <w:outlineLvl w:val="3"/>
      </w:pPr>
      <w:r>
        <w:rPr>
          <w:rFonts w:ascii="Times New Roman" w:hAnsi="Times New Roman" w:eastAsia="黑体"/>
          <w:b/>
          <w:sz w:val="24"/>
        </w:rPr>
        <w:t>（二）实施时间线</w:t>
      </w:r>
    </w:p>
    <w:p>
      <w:pPr>
        <w:spacing w:line="400" w:lineRule="exact" w:before="0" w:after="0"/>
        <w:ind w:firstLine="480"/>
        <w:jc w:val="both"/>
      </w:pPr>
      <w:r>
        <w:rPr>
          <w:rFonts w:ascii="Times New Roman" w:hAnsi="Times New Roman" w:eastAsia="宋体"/>
          <w:b w:val="0"/>
          <w:sz w:val="24"/>
        </w:rPr>
        <w:t>试点实施时间为2026年3月初至5月底，约三个月。具体里程碑如下：</w:t>
      </w:r>
    </w:p>
    <w:p>
      <w:pPr>
        <w:spacing w:line="400" w:lineRule="exact" w:before="0" w:after="0"/>
        <w:ind w:firstLine="480"/>
        <w:jc w:val="both"/>
      </w:pPr>
      <w:r>
        <w:rPr>
          <w:rFonts w:ascii="Times New Roman" w:hAnsi="Times New Roman" w:eastAsia="宋体"/>
          <w:b w:val="0"/>
          <w:sz w:val="24"/>
        </w:rPr>
        <w:t>2026年3月第一周：完成优化方案的技术准备工作，包括管理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48个月历史数据中截取最近三个月），后测数据在试点运行期间实时收集。</w:t>
      </w:r>
    </w:p>
    <w:p>
      <w:pPr>
        <w:spacing w:line="240" w:lineRule="auto" w:before="240" w:after="120"/>
        <w:ind w:firstLine="480"/>
        <w:outlineLvl w:val="3"/>
      </w:pPr>
      <w:r>
        <w:rPr>
          <w:rFonts w:ascii="Times New Roman" w:hAnsi="Times New Roman" w:eastAsia="黑体"/>
          <w:b/>
          <w:sz w:val="24"/>
        </w:rPr>
        <w:t>（三）实施中的调整</w:t>
      </w:r>
    </w:p>
    <w:p>
      <w:pPr>
        <w:spacing w:line="400" w:lineRule="exact" w:before="0" w:after="0"/>
        <w:ind w:firstLine="480"/>
        <w:jc w:val="both"/>
      </w:pPr>
      <w:r>
        <w:rPr>
          <w:rFonts w:ascii="Times New Roman" w:hAnsi="Times New Roman" w:eastAsia="宋体"/>
          <w:b w:val="0"/>
          <w:sz w:val="24"/>
        </w:rPr>
        <w:t>在试点实施初期，出现了以下两个需要及时调整的问题。一个是技术层面的：统一检查预约资源池灰度上线的前两周，线上问诊发起的检查预约与线下预约窗口的请求尚未纳入同一号源管控逻辑，高峰时段出现过同一检查时段被重复占用的情况，个别患者被双重预约。技术团队在资源池服务层紧急增加了号源预占与统一排队机制，将线上线下请求合并到同一号源视图，冲突问题得到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pPr>
        <w:spacing w:line="240" w:lineRule="auto" w:before="240" w:after="120"/>
        <w:ind w:firstLine="520"/>
        <w:outlineLvl w:val="2"/>
      </w:pPr>
      <w:r>
        <w:rPr>
          <w:rFonts w:ascii="Times New Roman" w:hAnsi="Times New Roman" w:eastAsia="黑体"/>
          <w:b/>
          <w:sz w:val="26"/>
        </w:rPr>
        <w:t>二、准实验对比分析</w:t>
      </w:r>
    </w:p>
    <w:p>
      <w:pPr>
        <w:spacing w:line="240" w:lineRule="auto" w:before="240" w:after="120"/>
        <w:ind w:firstLine="480"/>
        <w:outlineLvl w:val="3"/>
      </w:pPr>
      <w:r>
        <w:rPr>
          <w:rFonts w:ascii="Times New Roman" w:hAnsi="Times New Roman" w:eastAsia="黑体"/>
          <w:b/>
          <w:sz w:val="24"/>
        </w:rPr>
        <w:t>（一）流程效率对比</w:t>
      </w:r>
    </w:p>
    <w:p>
      <w:pPr>
        <w:jc w:val="center"/>
      </w:pPr>
      <w:r>
        <w:drawing>
          <wp:inline xmlns:a="http://schemas.openxmlformats.org/drawingml/2006/main" xmlns:pic="http://schemas.openxmlformats.org/drawingml/2006/picture">
            <wp:extent cx="5040000" cy="2736797"/>
            <wp:docPr id="21" name="Picture 21"/>
            <wp:cNvGraphicFramePr>
              <a:graphicFrameLocks noChangeAspect="1"/>
            </wp:cNvGraphicFramePr>
            <a:graphic>
              <a:graphicData uri="http://schemas.openxmlformats.org/drawingml/2006/picture">
                <pic:pic>
                  <pic:nvPicPr>
                    <pic:cNvPr id="0" name="图5.5-KPI对比图.png"/>
                    <pic:cNvPicPr/>
                  </pic:nvPicPr>
                  <pic:blipFill>
                    <a:blip r:embed="rId31"/>
                    <a:stretch>
                      <a:fillRect/>
                    </a:stretch>
                  </pic:blipFill>
                  <pic:spPr>
                    <a:xfrm>
                      <a:off x="0" y="0"/>
                      <a:ext cx="5040000" cy="2736797"/>
                    </a:xfrm>
                    <a:prstGeom prst="rect"/>
                  </pic:spPr>
                </pic:pic>
              </a:graphicData>
            </a:graphic>
          </wp:inline>
        </w:drawing>
      </w:r>
    </w:p>
    <w:p>
      <w:pPr>
        <w:spacing w:line="240" w:lineRule="auto" w:before="120" w:after="240"/>
        <w:jc w:val="center"/>
      </w:pPr>
      <w:r>
        <w:rPr>
          <w:rFonts w:ascii="Times New Roman" w:hAnsi="Times New Roman" w:eastAsia="宋体"/>
          <w:b w:val="0"/>
          <w:sz w:val="21"/>
        </w:rPr>
        <w:t>图5.5　KPI对比图</w:t>
      </w:r>
    </w:p>
    <w:p>
      <w:pPr>
        <w:spacing w:line="400" w:lineRule="exact" w:before="0" w:after="0"/>
        <w:ind w:firstLine="480"/>
        <w:jc w:val="both"/>
      </w:pPr>
      <w:r>
        <w:rPr>
          <w:rFonts w:ascii="Times New Roman" w:hAnsi="Times New Roman" w:eastAsia="宋体"/>
          <w:b w:val="0"/>
          <w:sz w:val="24"/>
        </w:rPr>
        <w:t>表5.3展示了医院A（实验组）和医院B（对照组）在优化实施前后主要流程效率指标的变化。前测期为2025年12月至2026年2月，后测期为2026年3月至5月。</w:t>
      </w:r>
    </w:p>
    <w:p>
      <w:pPr>
        <w:spacing w:line="240" w:lineRule="auto" w:before="120" w:after="120"/>
        <w:jc w:val="center"/>
      </w:pPr>
      <w:r>
        <w:rPr>
          <w:rFonts w:ascii="Times New Roman" w:hAnsi="Times New Roman" w:eastAsia="宋体"/>
          <w:b w:val="0"/>
          <w:sz w:val="21"/>
        </w:rPr>
        <w:t>表5.3　优化前后流程效率对比（实验组vs对照组）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076"/>
        <w:gridCol w:w="1076"/>
        <w:gridCol w:w="1076"/>
        <w:gridCol w:w="1076"/>
        <w:gridCol w:w="1076"/>
        <w:gridCol w:w="1076"/>
        <w:gridCol w:w="1076"/>
        <w:gridCol w:w="1076"/>
      </w:tblGrid>
      <w:tr>
        <w:tc>
          <w:tcPr>
            <w:tcW w:type="dxa" w:w="1076"/>
            <w:tcBorders>
              <w:bottom w:val="single" w:sz="12" w:space="0" w:color="000000"/>
            </w:tcBorders>
          </w:tcPr>
          <w:p>
            <w:pPr>
              <w:jc w:val="center"/>
            </w:pPr>
            <w:r/>
            <w:r>
              <w:rPr>
                <w:rFonts w:ascii="Times New Roman" w:hAnsi="Times New Roman" w:eastAsia="宋体"/>
                <w:b/>
                <w:sz w:val="20"/>
              </w:rPr>
              <w:t>指标</w:t>
            </w:r>
          </w:p>
        </w:tc>
        <w:tc>
          <w:tcPr>
            <w:tcW w:type="dxa" w:w="1076"/>
            <w:tcBorders>
              <w:bottom w:val="single" w:sz="12" w:space="0" w:color="000000"/>
            </w:tcBorders>
          </w:tcPr>
          <w:p>
            <w:pPr>
              <w:jc w:val="center"/>
            </w:pPr>
            <w:r/>
            <w:r>
              <w:rPr>
                <w:rFonts w:ascii="Times New Roman" w:hAnsi="Times New Roman" w:eastAsia="宋体"/>
                <w:b/>
                <w:sz w:val="20"/>
              </w:rPr>
              <w:t>医院A前测</w:t>
            </w:r>
          </w:p>
        </w:tc>
        <w:tc>
          <w:tcPr>
            <w:tcW w:type="dxa" w:w="1076"/>
            <w:tcBorders>
              <w:bottom w:val="single" w:sz="12" w:space="0" w:color="000000"/>
            </w:tcBorders>
          </w:tcPr>
          <w:p>
            <w:pPr>
              <w:jc w:val="center"/>
            </w:pPr>
            <w:r/>
            <w:r>
              <w:rPr>
                <w:rFonts w:ascii="Times New Roman" w:hAnsi="Times New Roman" w:eastAsia="宋体"/>
                <w:b/>
                <w:sz w:val="20"/>
              </w:rPr>
              <w:t>医院A后测</w:t>
            </w:r>
          </w:p>
        </w:tc>
        <w:tc>
          <w:tcPr>
            <w:tcW w:type="dxa" w:w="1076"/>
            <w:tcBorders>
              <w:bottom w:val="single" w:sz="12" w:space="0" w:color="000000"/>
            </w:tcBorders>
          </w:tcPr>
          <w:p>
            <w:pPr>
              <w:jc w:val="center"/>
            </w:pPr>
            <w:r/>
            <w:r>
              <w:rPr>
                <w:rFonts w:ascii="Times New Roman" w:hAnsi="Times New Roman" w:eastAsia="宋体"/>
                <w:b/>
                <w:sz w:val="20"/>
              </w:rPr>
              <w:t>变化</w:t>
            </w:r>
          </w:p>
        </w:tc>
        <w:tc>
          <w:tcPr>
            <w:tcW w:type="dxa" w:w="1076"/>
            <w:tcBorders>
              <w:bottom w:val="single" w:sz="12" w:space="0" w:color="000000"/>
            </w:tcBorders>
          </w:tcPr>
          <w:p>
            <w:pPr>
              <w:jc w:val="center"/>
            </w:pPr>
            <w:r/>
            <w:r>
              <w:rPr>
                <w:rFonts w:ascii="Times New Roman" w:hAnsi="Times New Roman" w:eastAsia="宋体"/>
                <w:b/>
                <w:sz w:val="20"/>
              </w:rPr>
              <w:t>医院B前测</w:t>
            </w:r>
          </w:p>
        </w:tc>
        <w:tc>
          <w:tcPr>
            <w:tcW w:type="dxa" w:w="1076"/>
            <w:tcBorders>
              <w:bottom w:val="single" w:sz="12" w:space="0" w:color="000000"/>
            </w:tcBorders>
          </w:tcPr>
          <w:p>
            <w:pPr>
              <w:jc w:val="center"/>
            </w:pPr>
            <w:r/>
            <w:r>
              <w:rPr>
                <w:rFonts w:ascii="Times New Roman" w:hAnsi="Times New Roman" w:eastAsia="宋体"/>
                <w:b/>
                <w:sz w:val="20"/>
              </w:rPr>
              <w:t>医院B后测</w:t>
            </w:r>
          </w:p>
        </w:tc>
        <w:tc>
          <w:tcPr>
            <w:tcW w:type="dxa" w:w="1076"/>
            <w:tcBorders>
              <w:bottom w:val="single" w:sz="12" w:space="0" w:color="000000"/>
            </w:tcBorders>
          </w:tcPr>
          <w:p>
            <w:pPr>
              <w:jc w:val="center"/>
            </w:pPr>
            <w:r/>
            <w:r>
              <w:rPr>
                <w:rFonts w:ascii="Times New Roman" w:hAnsi="Times New Roman" w:eastAsia="宋体"/>
                <w:b/>
                <w:sz w:val="20"/>
              </w:rPr>
              <w:t>变化</w:t>
            </w:r>
          </w:p>
        </w:tc>
        <w:tc>
          <w:tcPr>
            <w:tcW w:type="dxa" w:w="1076"/>
            <w:tcBorders>
              <w:bottom w:val="single" w:sz="12" w:space="0" w:color="000000"/>
            </w:tcBorders>
          </w:tcPr>
          <w:p>
            <w:pPr>
              <w:jc w:val="center"/>
            </w:pPr>
            <w:r/>
            <w:r>
              <w:rPr>
                <w:rFonts w:ascii="Times New Roman" w:hAnsi="Times New Roman" w:eastAsia="宋体"/>
                <w:b/>
                <w:sz w:val="20"/>
              </w:rPr>
              <w:t>DID净效果</w:t>
            </w:r>
          </w:p>
        </w:tc>
      </w:tr>
      <w:tr>
        <w:tc>
          <w:tcPr>
            <w:tcW w:type="dxa" w:w="1076"/>
          </w:tcPr>
          <w:p>
            <w:r/>
            <w:r>
              <w:rPr>
                <w:rFonts w:ascii="Times New Roman" w:hAnsi="Times New Roman" w:eastAsia="宋体"/>
                <w:sz w:val="20"/>
              </w:rPr>
              <w:t>平均接诊等待时间（分钟）</w:t>
            </w:r>
          </w:p>
        </w:tc>
        <w:tc>
          <w:tcPr>
            <w:tcW w:type="dxa" w:w="1076"/>
          </w:tcPr>
          <w:p>
            <w:r/>
            <w:r>
              <w:rPr>
                <w:rFonts w:ascii="Times New Roman" w:hAnsi="Times New Roman" w:eastAsia="宋体"/>
                <w:sz w:val="20"/>
              </w:rPr>
              <w:t>6.5</w:t>
            </w:r>
          </w:p>
        </w:tc>
        <w:tc>
          <w:tcPr>
            <w:tcW w:type="dxa" w:w="1076"/>
          </w:tcPr>
          <w:p>
            <w:r/>
            <w:r>
              <w:rPr>
                <w:rFonts w:ascii="Times New Roman" w:hAnsi="Times New Roman" w:eastAsia="宋体"/>
                <w:sz w:val="20"/>
              </w:rPr>
              <w:t>4.2</w:t>
            </w:r>
          </w:p>
        </w:tc>
        <w:tc>
          <w:tcPr>
            <w:tcW w:type="dxa" w:w="1076"/>
          </w:tcPr>
          <w:p>
            <w:r/>
            <w:r>
              <w:rPr>
                <w:rFonts w:ascii="Times New Roman" w:hAnsi="Times New Roman" w:eastAsia="宋体"/>
                <w:sz w:val="20"/>
              </w:rPr>
              <w:t>-35.4%</w:t>
            </w:r>
          </w:p>
        </w:tc>
        <w:tc>
          <w:tcPr>
            <w:tcW w:type="dxa" w:w="1076"/>
          </w:tcPr>
          <w:p>
            <w:r/>
            <w:r>
              <w:rPr>
                <w:rFonts w:ascii="Times New Roman" w:hAnsi="Times New Roman" w:eastAsia="宋体"/>
                <w:sz w:val="20"/>
              </w:rPr>
              <w:t>6.8</w:t>
            </w:r>
          </w:p>
        </w:tc>
        <w:tc>
          <w:tcPr>
            <w:tcW w:type="dxa" w:w="1076"/>
          </w:tcPr>
          <w:p>
            <w:r/>
            <w:r>
              <w:rPr>
                <w:rFonts w:ascii="Times New Roman" w:hAnsi="Times New Roman" w:eastAsia="宋体"/>
                <w:sz w:val="20"/>
              </w:rPr>
              <w:t>6.6</w:t>
            </w:r>
          </w:p>
        </w:tc>
        <w:tc>
          <w:tcPr>
            <w:tcW w:type="dxa" w:w="1076"/>
          </w:tcPr>
          <w:p>
            <w:r/>
            <w:r>
              <w:rPr>
                <w:rFonts w:ascii="Times New Roman" w:hAnsi="Times New Roman" w:eastAsia="宋体"/>
                <w:sz w:val="20"/>
              </w:rPr>
              <w:t>-2.9%</w:t>
            </w:r>
          </w:p>
        </w:tc>
        <w:tc>
          <w:tcPr>
            <w:tcW w:type="dxa" w:w="1076"/>
          </w:tcPr>
          <w:p>
            <w:r/>
            <w:r>
              <w:rPr>
                <w:rFonts w:ascii="Times New Roman" w:hAnsi="Times New Roman" w:eastAsia="宋体"/>
                <w:sz w:val="20"/>
              </w:rPr>
              <w:t>-32.5%</w:t>
            </w:r>
          </w:p>
        </w:tc>
      </w:tr>
      <w:tr>
        <w:tc>
          <w:tcPr>
            <w:tcW w:type="dxa" w:w="1076"/>
          </w:tcPr>
          <w:p>
            <w:r/>
            <w:r>
              <w:rPr>
                <w:rFonts w:ascii="Times New Roman" w:hAnsi="Times New Roman" w:eastAsia="宋体"/>
                <w:sz w:val="20"/>
              </w:rPr>
              <w:t>处方审核平均耗时（分钟）</w:t>
            </w:r>
          </w:p>
        </w:tc>
        <w:tc>
          <w:tcPr>
            <w:tcW w:type="dxa" w:w="1076"/>
          </w:tcPr>
          <w:p>
            <w:r/>
            <w:r>
              <w:rPr>
                <w:rFonts w:ascii="Times New Roman" w:hAnsi="Times New Roman" w:eastAsia="宋体"/>
                <w:sz w:val="20"/>
              </w:rPr>
              <w:t>8.0</w:t>
            </w:r>
          </w:p>
        </w:tc>
        <w:tc>
          <w:tcPr>
            <w:tcW w:type="dxa" w:w="1076"/>
          </w:tcPr>
          <w:p>
            <w:r/>
            <w:r>
              <w:rPr>
                <w:rFonts w:ascii="Times New Roman" w:hAnsi="Times New Roman" w:eastAsia="宋体"/>
                <w:sz w:val="20"/>
              </w:rPr>
              <w:t>5.8</w:t>
            </w:r>
          </w:p>
        </w:tc>
        <w:tc>
          <w:tcPr>
            <w:tcW w:type="dxa" w:w="1076"/>
          </w:tcPr>
          <w:p>
            <w:r/>
            <w:r>
              <w:rPr>
                <w:rFonts w:ascii="Times New Roman" w:hAnsi="Times New Roman" w:eastAsia="宋体"/>
                <w:sz w:val="20"/>
              </w:rPr>
              <w:t>-27.5%</w:t>
            </w:r>
          </w:p>
        </w:tc>
        <w:tc>
          <w:tcPr>
            <w:tcW w:type="dxa" w:w="1076"/>
          </w:tcPr>
          <w:p>
            <w:r/>
            <w:r>
              <w:rPr>
                <w:rFonts w:ascii="Times New Roman" w:hAnsi="Times New Roman" w:eastAsia="宋体"/>
                <w:sz w:val="20"/>
              </w:rPr>
              <w:t>7.9</w:t>
            </w:r>
          </w:p>
        </w:tc>
        <w:tc>
          <w:tcPr>
            <w:tcW w:type="dxa" w:w="1076"/>
          </w:tcPr>
          <w:p>
            <w:r/>
            <w:r>
              <w:rPr>
                <w:rFonts w:ascii="Times New Roman" w:hAnsi="Times New Roman" w:eastAsia="宋体"/>
                <w:sz w:val="20"/>
              </w:rPr>
              <w:t>7.8</w:t>
            </w:r>
          </w:p>
        </w:tc>
        <w:tc>
          <w:tcPr>
            <w:tcW w:type="dxa" w:w="1076"/>
          </w:tcPr>
          <w:p>
            <w:r/>
            <w:r>
              <w:rPr>
                <w:rFonts w:ascii="Times New Roman" w:hAnsi="Times New Roman" w:eastAsia="宋体"/>
                <w:sz w:val="20"/>
              </w:rPr>
              <w:t>-1.3%</w:t>
            </w:r>
          </w:p>
        </w:tc>
        <w:tc>
          <w:tcPr>
            <w:tcW w:type="dxa" w:w="1076"/>
          </w:tcPr>
          <w:p>
            <w:r/>
            <w:r>
              <w:rPr>
                <w:rFonts w:ascii="Times New Roman" w:hAnsi="Times New Roman" w:eastAsia="宋体"/>
                <w:sz w:val="20"/>
              </w:rPr>
              <w:t>-26.2%</w:t>
            </w:r>
          </w:p>
        </w:tc>
      </w:tr>
      <w:tr>
        <w:tc>
          <w:tcPr>
            <w:tcW w:type="dxa" w:w="1076"/>
          </w:tcPr>
          <w:p>
            <w:r/>
            <w:r>
              <w:rPr>
                <w:rFonts w:ascii="Times New Roman" w:hAnsi="Times New Roman" w:eastAsia="宋体"/>
                <w:sz w:val="20"/>
              </w:rPr>
              <w:t>检查预约→完成周期（小时）</w:t>
            </w:r>
          </w:p>
        </w:tc>
        <w:tc>
          <w:tcPr>
            <w:tcW w:type="dxa" w:w="1076"/>
          </w:tcPr>
          <w:p>
            <w:r/>
            <w:r>
              <w:rPr>
                <w:rFonts w:ascii="Times New Roman" w:hAnsi="Times New Roman" w:eastAsia="宋体"/>
                <w:sz w:val="20"/>
              </w:rPr>
              <w:t>40.9</w:t>
            </w:r>
          </w:p>
        </w:tc>
        <w:tc>
          <w:tcPr>
            <w:tcW w:type="dxa" w:w="1076"/>
          </w:tcPr>
          <w:p>
            <w:r/>
            <w:r>
              <w:rPr>
                <w:rFonts w:ascii="Times New Roman" w:hAnsi="Times New Roman" w:eastAsia="宋体"/>
                <w:sz w:val="20"/>
              </w:rPr>
              <w:t>28.3</w:t>
            </w:r>
          </w:p>
        </w:tc>
        <w:tc>
          <w:tcPr>
            <w:tcW w:type="dxa" w:w="1076"/>
          </w:tcPr>
          <w:p>
            <w:r/>
            <w:r>
              <w:rPr>
                <w:rFonts w:ascii="Times New Roman" w:hAnsi="Times New Roman" w:eastAsia="宋体"/>
                <w:sz w:val="20"/>
              </w:rPr>
              <w:t>-30.8%</w:t>
            </w:r>
          </w:p>
        </w:tc>
        <w:tc>
          <w:tcPr>
            <w:tcW w:type="dxa" w:w="1076"/>
          </w:tcPr>
          <w:p>
            <w:r/>
            <w:r>
              <w:rPr>
                <w:rFonts w:ascii="Times New Roman" w:hAnsi="Times New Roman" w:eastAsia="宋体"/>
                <w:sz w:val="20"/>
              </w:rPr>
              <w:t>41.5</w:t>
            </w:r>
          </w:p>
        </w:tc>
        <w:tc>
          <w:tcPr>
            <w:tcW w:type="dxa" w:w="1076"/>
          </w:tcPr>
          <w:p>
            <w:r/>
            <w:r>
              <w:rPr>
                <w:rFonts w:ascii="Times New Roman" w:hAnsi="Times New Roman" w:eastAsia="宋体"/>
                <w:sz w:val="20"/>
              </w:rPr>
              <w:t>40.8</w:t>
            </w:r>
          </w:p>
        </w:tc>
        <w:tc>
          <w:tcPr>
            <w:tcW w:type="dxa" w:w="1076"/>
          </w:tcPr>
          <w:p>
            <w:r/>
            <w:r>
              <w:rPr>
                <w:rFonts w:ascii="Times New Roman" w:hAnsi="Times New Roman" w:eastAsia="宋体"/>
                <w:sz w:val="20"/>
              </w:rPr>
              <w:t>-1.7%</w:t>
            </w:r>
          </w:p>
        </w:tc>
        <w:tc>
          <w:tcPr>
            <w:tcW w:type="dxa" w:w="1076"/>
          </w:tcPr>
          <w:p>
            <w:r/>
            <w:r>
              <w:rPr>
                <w:rFonts w:ascii="Times New Roman" w:hAnsi="Times New Roman" w:eastAsia="宋体"/>
                <w:sz w:val="20"/>
              </w:rPr>
              <w:t>-29.1%</w:t>
            </w:r>
          </w:p>
        </w:tc>
      </w:tr>
      <w:tr>
        <w:tc>
          <w:tcPr>
            <w:tcW w:type="dxa" w:w="1076"/>
          </w:tcPr>
          <w:p>
            <w:r/>
            <w:r>
              <w:rPr>
                <w:rFonts w:ascii="Times New Roman" w:hAnsi="Times New Roman" w:eastAsia="宋体"/>
                <w:sz w:val="20"/>
              </w:rPr>
              <w:t>处方→取药完成（分钟）</w:t>
            </w:r>
          </w:p>
        </w:tc>
        <w:tc>
          <w:tcPr>
            <w:tcW w:type="dxa" w:w="1076"/>
          </w:tcPr>
          <w:p>
            <w:r/>
            <w:r>
              <w:rPr>
                <w:rFonts w:ascii="Times New Roman" w:hAnsi="Times New Roman" w:eastAsia="宋体"/>
                <w:sz w:val="20"/>
              </w:rPr>
              <w:t>20.4</w:t>
            </w:r>
          </w:p>
        </w:tc>
        <w:tc>
          <w:tcPr>
            <w:tcW w:type="dxa" w:w="1076"/>
          </w:tcPr>
          <w:p>
            <w:r/>
            <w:r>
              <w:rPr>
                <w:rFonts w:ascii="Times New Roman" w:hAnsi="Times New Roman" w:eastAsia="宋体"/>
                <w:sz w:val="20"/>
              </w:rPr>
              <w:t>13.1</w:t>
            </w:r>
          </w:p>
        </w:tc>
        <w:tc>
          <w:tcPr>
            <w:tcW w:type="dxa" w:w="1076"/>
          </w:tcPr>
          <w:p>
            <w:r/>
            <w:r>
              <w:rPr>
                <w:rFonts w:ascii="Times New Roman" w:hAnsi="Times New Roman" w:eastAsia="宋体"/>
                <w:sz w:val="20"/>
              </w:rPr>
              <w:t>-35.8%</w:t>
            </w:r>
          </w:p>
        </w:tc>
        <w:tc>
          <w:tcPr>
            <w:tcW w:type="dxa" w:w="1076"/>
          </w:tcPr>
          <w:p>
            <w:r/>
            <w:r>
              <w:rPr>
                <w:rFonts w:ascii="Times New Roman" w:hAnsi="Times New Roman" w:eastAsia="宋体"/>
                <w:sz w:val="20"/>
              </w:rPr>
              <w:t>21.0</w:t>
            </w:r>
          </w:p>
        </w:tc>
        <w:tc>
          <w:tcPr>
            <w:tcW w:type="dxa" w:w="1076"/>
          </w:tcPr>
          <w:p>
            <w:r/>
            <w:r>
              <w:rPr>
                <w:rFonts w:ascii="Times New Roman" w:hAnsi="Times New Roman" w:eastAsia="宋体"/>
                <w:sz w:val="20"/>
              </w:rPr>
              <w:t>20.5</w:t>
            </w:r>
          </w:p>
        </w:tc>
        <w:tc>
          <w:tcPr>
            <w:tcW w:type="dxa" w:w="1076"/>
          </w:tcPr>
          <w:p>
            <w:r/>
            <w:r>
              <w:rPr>
                <w:rFonts w:ascii="Times New Roman" w:hAnsi="Times New Roman" w:eastAsia="宋体"/>
                <w:sz w:val="20"/>
              </w:rPr>
              <w:t>-2.4%</w:t>
            </w:r>
          </w:p>
        </w:tc>
        <w:tc>
          <w:tcPr>
            <w:tcW w:type="dxa" w:w="1076"/>
          </w:tcPr>
          <w:p>
            <w:r/>
            <w:r>
              <w:rPr>
                <w:rFonts w:ascii="Times New Roman" w:hAnsi="Times New Roman" w:eastAsia="宋体"/>
                <w:sz w:val="20"/>
              </w:rPr>
              <w:t>-33.4%</w:t>
            </w:r>
          </w:p>
        </w:tc>
      </w:tr>
      <w:tr>
        <w:tc>
          <w:tcPr>
            <w:tcW w:type="dxa" w:w="1076"/>
          </w:tcPr>
          <w:p>
            <w:r/>
            <w:r>
              <w:rPr>
                <w:rFonts w:ascii="Times New Roman" w:hAnsi="Times New Roman" w:eastAsia="宋体"/>
                <w:sz w:val="20"/>
              </w:rPr>
              <w:t>返工率</w:t>
            </w:r>
          </w:p>
        </w:tc>
        <w:tc>
          <w:tcPr>
            <w:tcW w:type="dxa" w:w="1076"/>
          </w:tcPr>
          <w:p>
            <w:r/>
            <w:r>
              <w:rPr>
                <w:rFonts w:ascii="Times New Roman" w:hAnsi="Times New Roman" w:eastAsia="宋体"/>
                <w:sz w:val="20"/>
              </w:rPr>
              <w:t>6.2%</w:t>
            </w:r>
          </w:p>
        </w:tc>
        <w:tc>
          <w:tcPr>
            <w:tcW w:type="dxa" w:w="1076"/>
          </w:tcPr>
          <w:p>
            <w:r/>
            <w:r>
              <w:rPr>
                <w:rFonts w:ascii="Times New Roman" w:hAnsi="Times New Roman" w:eastAsia="宋体"/>
                <w:sz w:val="20"/>
              </w:rPr>
              <w:t>3.8%</w:t>
            </w:r>
          </w:p>
        </w:tc>
        <w:tc>
          <w:tcPr>
            <w:tcW w:type="dxa" w:w="1076"/>
          </w:tcPr>
          <w:p>
            <w:r/>
            <w:r>
              <w:rPr>
                <w:rFonts w:ascii="Times New Roman" w:hAnsi="Times New Roman" w:eastAsia="宋体"/>
                <w:sz w:val="20"/>
              </w:rPr>
              <w:t>-2.4个百分点</w:t>
            </w:r>
          </w:p>
        </w:tc>
        <w:tc>
          <w:tcPr>
            <w:tcW w:type="dxa" w:w="1076"/>
          </w:tcPr>
          <w:p>
            <w:r/>
            <w:r>
              <w:rPr>
                <w:rFonts w:ascii="Times New Roman" w:hAnsi="Times New Roman" w:eastAsia="宋体"/>
                <w:sz w:val="20"/>
              </w:rPr>
              <w:t>6.0%</w:t>
            </w:r>
          </w:p>
        </w:tc>
        <w:tc>
          <w:tcPr>
            <w:tcW w:type="dxa" w:w="1076"/>
          </w:tcPr>
          <w:p>
            <w:r/>
            <w:r>
              <w:rPr>
                <w:rFonts w:ascii="Times New Roman" w:hAnsi="Times New Roman" w:eastAsia="宋体"/>
                <w:sz w:val="20"/>
              </w:rPr>
              <w:t>5.9%</w:t>
            </w:r>
          </w:p>
        </w:tc>
        <w:tc>
          <w:tcPr>
            <w:tcW w:type="dxa" w:w="1076"/>
          </w:tcPr>
          <w:p>
            <w:r/>
            <w:r>
              <w:rPr>
                <w:rFonts w:ascii="Times New Roman" w:hAnsi="Times New Roman" w:eastAsia="宋体"/>
                <w:sz w:val="20"/>
              </w:rPr>
              <w:t>-0.1个百分点</w:t>
            </w:r>
          </w:p>
        </w:tc>
        <w:tc>
          <w:tcPr>
            <w:tcW w:type="dxa" w:w="1076"/>
          </w:tcPr>
          <w:p>
            <w:r/>
            <w:r>
              <w:rPr>
                <w:rFonts w:ascii="Times New Roman" w:hAnsi="Times New Roman" w:eastAsia="宋体"/>
                <w:sz w:val="20"/>
              </w:rPr>
              <w:t>-2.3个百分点</w:t>
            </w:r>
          </w:p>
        </w:tc>
      </w:tr>
    </w:tbl>
    <w:p/>
    <w:p>
      <w:pPr>
        <w:spacing w:line="400" w:lineRule="exact" w:before="0" w:after="0"/>
        <w:ind w:firstLine="480"/>
        <w:jc w:val="both"/>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pPr>
        <w:spacing w:line="400" w:lineRule="exact" w:before="0" w:after="0"/>
        <w:ind w:firstLine="480"/>
        <w:jc w:val="both"/>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pPr>
        <w:spacing w:line="240" w:lineRule="auto" w:before="240" w:after="120"/>
        <w:ind w:firstLine="480"/>
        <w:outlineLvl w:val="3"/>
      </w:pPr>
      <w:r>
        <w:rPr>
          <w:rFonts w:ascii="Times New Roman" w:hAnsi="Times New Roman" w:eastAsia="黑体"/>
          <w:b/>
          <w:sz w:val="24"/>
        </w:rPr>
        <w:t>（二）资源利用率对比</w:t>
      </w:r>
    </w:p>
    <w:p>
      <w:pPr>
        <w:spacing w:line="400" w:lineRule="exact" w:before="0" w:after="0"/>
        <w:ind w:firstLine="480"/>
        <w:jc w:val="both"/>
      </w:pPr>
      <w:r>
        <w:rPr>
          <w:rFonts w:ascii="Times New Roman" w:hAnsi="Times New Roman" w:eastAsia="宋体"/>
          <w:b w:val="0"/>
          <w:sz w:val="24"/>
        </w:rPr>
        <w:t>表5.4展示了优化前后资源利用相关指标的变化。</w:t>
      </w:r>
    </w:p>
    <w:p>
      <w:pPr>
        <w:spacing w:line="240" w:lineRule="auto" w:before="120" w:after="120"/>
        <w:jc w:val="center"/>
      </w:pPr>
      <w:r>
        <w:rPr>
          <w:rFonts w:ascii="Times New Roman" w:hAnsi="Times New Roman" w:eastAsia="宋体"/>
          <w:b w:val="0"/>
          <w:sz w:val="21"/>
        </w:rPr>
        <w:t>表5.4　优化前后资源利用率对比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指标</w:t>
            </w:r>
          </w:p>
        </w:tc>
        <w:tc>
          <w:tcPr>
            <w:tcW w:type="dxa" w:w="2153"/>
            <w:tcBorders>
              <w:bottom w:val="single" w:sz="12" w:space="0" w:color="000000"/>
            </w:tcBorders>
          </w:tcPr>
          <w:p>
            <w:pPr>
              <w:jc w:val="center"/>
            </w:pPr>
            <w:r/>
            <w:r>
              <w:rPr>
                <w:rFonts w:ascii="Times New Roman" w:hAnsi="Times New Roman" w:eastAsia="宋体"/>
                <w:b/>
                <w:sz w:val="20"/>
              </w:rPr>
              <w:t>医院A前测</w:t>
            </w:r>
          </w:p>
        </w:tc>
        <w:tc>
          <w:tcPr>
            <w:tcW w:type="dxa" w:w="2153"/>
            <w:tcBorders>
              <w:bottom w:val="single" w:sz="12" w:space="0" w:color="000000"/>
            </w:tcBorders>
          </w:tcPr>
          <w:p>
            <w:pPr>
              <w:jc w:val="center"/>
            </w:pPr>
            <w:r/>
            <w:r>
              <w:rPr>
                <w:rFonts w:ascii="Times New Roman" w:hAnsi="Times New Roman" w:eastAsia="宋体"/>
                <w:b/>
                <w:sz w:val="20"/>
              </w:rPr>
              <w:t>医院A后测</w:t>
            </w:r>
          </w:p>
        </w:tc>
        <w:tc>
          <w:tcPr>
            <w:tcW w:type="dxa" w:w="2153"/>
            <w:tcBorders>
              <w:bottom w:val="single" w:sz="12" w:space="0" w:color="000000"/>
            </w:tcBorders>
          </w:tcPr>
          <w:p>
            <w:pPr>
              <w:jc w:val="center"/>
            </w:pPr>
            <w:r/>
            <w:r>
              <w:rPr>
                <w:rFonts w:ascii="Times New Roman" w:hAnsi="Times New Roman" w:eastAsia="宋体"/>
                <w:b/>
                <w:sz w:val="20"/>
              </w:rPr>
              <w:t>变化</w:t>
            </w:r>
          </w:p>
        </w:tc>
      </w:tr>
      <w:tr>
        <w:tc>
          <w:tcPr>
            <w:tcW w:type="dxa" w:w="2153"/>
          </w:tcPr>
          <w:p>
            <w:r/>
            <w:r>
              <w:rPr>
                <w:rFonts w:ascii="Times New Roman" w:hAnsi="Times New Roman" w:eastAsia="宋体"/>
                <w:sz w:val="20"/>
              </w:rPr>
              <w:t>跨院区检查预约占比</w:t>
            </w:r>
          </w:p>
        </w:tc>
        <w:tc>
          <w:tcPr>
            <w:tcW w:type="dxa" w:w="2153"/>
          </w:tcPr>
          <w:p>
            <w:r/>
            <w:r>
              <w:rPr>
                <w:rFonts w:ascii="Times New Roman" w:hAnsi="Times New Roman" w:eastAsia="宋体"/>
                <w:sz w:val="20"/>
              </w:rPr>
              <w:t>0%</w:t>
            </w:r>
          </w:p>
        </w:tc>
        <w:tc>
          <w:tcPr>
            <w:tcW w:type="dxa" w:w="2153"/>
          </w:tcPr>
          <w:p>
            <w:r/>
            <w:r>
              <w:rPr>
                <w:rFonts w:ascii="Times New Roman" w:hAnsi="Times New Roman" w:eastAsia="宋体"/>
                <w:sz w:val="20"/>
              </w:rPr>
              <w:t>8.3%</w:t>
            </w:r>
          </w:p>
        </w:tc>
        <w:tc>
          <w:tcPr>
            <w:tcW w:type="dxa" w:w="2153"/>
          </w:tcPr>
          <w:p>
            <w:r/>
            <w:r>
              <w:rPr>
                <w:rFonts w:ascii="Times New Roman" w:hAnsi="Times New Roman" w:eastAsia="宋体"/>
                <w:sz w:val="20"/>
              </w:rPr>
              <w:t>+8.3个百分点</w:t>
            </w:r>
          </w:p>
        </w:tc>
      </w:tr>
      <w:tr>
        <w:tc>
          <w:tcPr>
            <w:tcW w:type="dxa" w:w="2153"/>
          </w:tcPr>
          <w:p>
            <w:r/>
            <w:r>
              <w:rPr>
                <w:rFonts w:ascii="Times New Roman" w:hAnsi="Times New Roman" w:eastAsia="宋体"/>
                <w:sz w:val="20"/>
              </w:rPr>
              <w:t>检查设备日均利用率</w:t>
            </w:r>
          </w:p>
        </w:tc>
        <w:tc>
          <w:tcPr>
            <w:tcW w:type="dxa" w:w="2153"/>
          </w:tcPr>
          <w:p>
            <w:r/>
            <w:r>
              <w:rPr>
                <w:rFonts w:ascii="Times New Roman" w:hAnsi="Times New Roman" w:eastAsia="宋体"/>
                <w:sz w:val="20"/>
              </w:rPr>
              <w:t>62%</w:t>
            </w:r>
          </w:p>
        </w:tc>
        <w:tc>
          <w:tcPr>
            <w:tcW w:type="dxa" w:w="2153"/>
          </w:tcPr>
          <w:p>
            <w:r/>
            <w:r>
              <w:rPr>
                <w:rFonts w:ascii="Times New Roman" w:hAnsi="Times New Roman" w:eastAsia="宋体"/>
                <w:sz w:val="20"/>
              </w:rPr>
              <w:t>71%</w:t>
            </w:r>
          </w:p>
        </w:tc>
        <w:tc>
          <w:tcPr>
            <w:tcW w:type="dxa" w:w="2153"/>
          </w:tcPr>
          <w:p>
            <w:r/>
            <w:r>
              <w:rPr>
                <w:rFonts w:ascii="Times New Roman" w:hAnsi="Times New Roman" w:eastAsia="宋体"/>
                <w:sz w:val="20"/>
              </w:rPr>
              <w:t>+9个百分点</w:t>
            </w:r>
          </w:p>
        </w:tc>
      </w:tr>
      <w:tr>
        <w:tc>
          <w:tcPr>
            <w:tcW w:type="dxa" w:w="2153"/>
          </w:tcPr>
          <w:p>
            <w:r/>
            <w:r>
              <w:rPr>
                <w:rFonts w:ascii="Times New Roman" w:hAnsi="Times New Roman" w:eastAsia="宋体"/>
                <w:sz w:val="20"/>
              </w:rPr>
              <w:t>药品配送到家选择率</w:t>
            </w:r>
          </w:p>
        </w:tc>
        <w:tc>
          <w:tcPr>
            <w:tcW w:type="dxa" w:w="2153"/>
          </w:tcPr>
          <w:p>
            <w:r/>
            <w:r>
              <w:rPr>
                <w:rFonts w:ascii="Times New Roman" w:hAnsi="Times New Roman" w:eastAsia="宋体"/>
                <w:sz w:val="20"/>
              </w:rPr>
              <w:t>23%</w:t>
            </w:r>
          </w:p>
        </w:tc>
        <w:tc>
          <w:tcPr>
            <w:tcW w:type="dxa" w:w="2153"/>
          </w:tcPr>
          <w:p>
            <w:r/>
            <w:r>
              <w:rPr>
                <w:rFonts w:ascii="Times New Roman" w:hAnsi="Times New Roman" w:eastAsia="宋体"/>
                <w:sz w:val="20"/>
              </w:rPr>
              <w:t>31%</w:t>
            </w:r>
          </w:p>
        </w:tc>
        <w:tc>
          <w:tcPr>
            <w:tcW w:type="dxa" w:w="2153"/>
          </w:tcPr>
          <w:p>
            <w:r/>
            <w:r>
              <w:rPr>
                <w:rFonts w:ascii="Times New Roman" w:hAnsi="Times New Roman" w:eastAsia="宋体"/>
                <w:sz w:val="20"/>
              </w:rPr>
              <w:t>+8个百分点</w:t>
            </w:r>
          </w:p>
        </w:tc>
      </w:tr>
      <w:tr>
        <w:tc>
          <w:tcPr>
            <w:tcW w:type="dxa" w:w="2153"/>
          </w:tcPr>
          <w:p>
            <w:r/>
            <w:r>
              <w:rPr>
                <w:rFonts w:ascii="Times New Roman" w:hAnsi="Times New Roman" w:eastAsia="宋体"/>
                <w:sz w:val="20"/>
              </w:rPr>
              <w:t>慢病快捷通道使用率</w:t>
            </w:r>
          </w:p>
        </w:tc>
        <w:tc>
          <w:tcPr>
            <w:tcW w:type="dxa" w:w="2153"/>
          </w:tcPr>
          <w:p>
            <w:r/>
            <w:r>
              <w:rPr>
                <w:rFonts w:ascii="Times New Roman" w:hAnsi="Times New Roman" w:eastAsia="宋体"/>
                <w:sz w:val="20"/>
              </w:rPr>
              <w:t>—</w:t>
            </w:r>
          </w:p>
        </w:tc>
        <w:tc>
          <w:tcPr>
            <w:tcW w:type="dxa" w:w="2153"/>
          </w:tcPr>
          <w:p>
            <w:r/>
            <w:r>
              <w:rPr>
                <w:rFonts w:ascii="Times New Roman" w:hAnsi="Times New Roman" w:eastAsia="宋体"/>
                <w:sz w:val="20"/>
              </w:rPr>
              <w:t>18%</w:t>
            </w:r>
          </w:p>
        </w:tc>
        <w:tc>
          <w:tcPr>
            <w:tcW w:type="dxa" w:w="2153"/>
          </w:tcPr>
          <w:p>
            <w:r/>
            <w:r>
              <w:rPr>
                <w:rFonts w:ascii="Times New Roman" w:hAnsi="Times New Roman" w:eastAsia="宋体"/>
                <w:sz w:val="20"/>
              </w:rPr>
              <w:t>新增</w:t>
            </w:r>
          </w:p>
        </w:tc>
      </w:tr>
    </w:tbl>
    <w:p/>
    <w:p>
      <w:pPr>
        <w:spacing w:line="400" w:lineRule="exact" w:before="0" w:after="0"/>
        <w:ind w:firstLine="480"/>
        <w:jc w:val="both"/>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pPr>
        <w:spacing w:line="240" w:lineRule="auto" w:before="240" w:after="120"/>
        <w:ind w:firstLine="480"/>
        <w:outlineLvl w:val="3"/>
      </w:pPr>
      <w:r>
        <w:rPr>
          <w:rFonts w:ascii="Times New Roman" w:hAnsi="Times New Roman" w:eastAsia="黑体"/>
          <w:b/>
          <w:sz w:val="24"/>
        </w:rPr>
        <w:t>（三）患者体验对比</w:t>
      </w:r>
    </w:p>
    <w:p>
      <w:pPr>
        <w:spacing w:line="400" w:lineRule="exact" w:before="0" w:after="0"/>
        <w:ind w:firstLine="480"/>
        <w:jc w:val="both"/>
      </w:pPr>
      <w:r>
        <w:rPr>
          <w:rFonts w:ascii="Times New Roman" w:hAnsi="Times New Roman" w:eastAsia="宋体"/>
          <w:b w:val="0"/>
          <w:sz w:val="24"/>
        </w:rPr>
        <w:t>平台内置满意度评分系统，患者在服务结束后会被邀请进行1-5分的满意度评分。优化前后的满意度数据对比如表5.5所示。</w:t>
      </w:r>
    </w:p>
    <w:p>
      <w:pPr>
        <w:spacing w:line="240" w:lineRule="auto" w:before="120" w:after="120"/>
        <w:jc w:val="center"/>
      </w:pPr>
      <w:r>
        <w:rPr>
          <w:rFonts w:ascii="Times New Roman" w:hAnsi="Times New Roman" w:eastAsia="宋体"/>
          <w:b w:val="0"/>
          <w:sz w:val="21"/>
        </w:rPr>
        <w:t>表5.5　优化前后患者满意度对比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指标</w:t>
            </w:r>
          </w:p>
        </w:tc>
        <w:tc>
          <w:tcPr>
            <w:tcW w:type="dxa" w:w="2153"/>
            <w:tcBorders>
              <w:bottom w:val="single" w:sz="12" w:space="0" w:color="000000"/>
            </w:tcBorders>
          </w:tcPr>
          <w:p>
            <w:pPr>
              <w:jc w:val="center"/>
            </w:pPr>
            <w:r/>
            <w:r>
              <w:rPr>
                <w:rFonts w:ascii="Times New Roman" w:hAnsi="Times New Roman" w:eastAsia="宋体"/>
                <w:b/>
                <w:sz w:val="20"/>
              </w:rPr>
              <w:t>医院A前测</w:t>
            </w:r>
          </w:p>
        </w:tc>
        <w:tc>
          <w:tcPr>
            <w:tcW w:type="dxa" w:w="2153"/>
            <w:tcBorders>
              <w:bottom w:val="single" w:sz="12" w:space="0" w:color="000000"/>
            </w:tcBorders>
          </w:tcPr>
          <w:p>
            <w:pPr>
              <w:jc w:val="center"/>
            </w:pPr>
            <w:r/>
            <w:r>
              <w:rPr>
                <w:rFonts w:ascii="Times New Roman" w:hAnsi="Times New Roman" w:eastAsia="宋体"/>
                <w:b/>
                <w:sz w:val="20"/>
              </w:rPr>
              <w:t>医院A后测</w:t>
            </w:r>
          </w:p>
        </w:tc>
        <w:tc>
          <w:tcPr>
            <w:tcW w:type="dxa" w:w="2153"/>
            <w:tcBorders>
              <w:bottom w:val="single" w:sz="12" w:space="0" w:color="000000"/>
            </w:tcBorders>
          </w:tcPr>
          <w:p>
            <w:pPr>
              <w:jc w:val="center"/>
            </w:pPr>
            <w:r/>
            <w:r>
              <w:rPr>
                <w:rFonts w:ascii="Times New Roman" w:hAnsi="Times New Roman" w:eastAsia="宋体"/>
                <w:b/>
                <w:sz w:val="20"/>
              </w:rPr>
              <w:t>变化</w:t>
            </w:r>
          </w:p>
        </w:tc>
      </w:tr>
      <w:tr>
        <w:tc>
          <w:tcPr>
            <w:tcW w:type="dxa" w:w="2153"/>
          </w:tcPr>
          <w:p>
            <w:r/>
            <w:r>
              <w:rPr>
                <w:rFonts w:ascii="Times New Roman" w:hAnsi="Times New Roman" w:eastAsia="宋体"/>
                <w:sz w:val="20"/>
              </w:rPr>
              <w:t>整体满意度（1-5分）</w:t>
            </w:r>
          </w:p>
        </w:tc>
        <w:tc>
          <w:tcPr>
            <w:tcW w:type="dxa" w:w="2153"/>
          </w:tcPr>
          <w:p>
            <w:r/>
            <w:r>
              <w:rPr>
                <w:rFonts w:ascii="Times New Roman" w:hAnsi="Times New Roman" w:eastAsia="宋体"/>
                <w:sz w:val="20"/>
              </w:rPr>
              <w:t>3.8</w:t>
            </w:r>
          </w:p>
        </w:tc>
        <w:tc>
          <w:tcPr>
            <w:tcW w:type="dxa" w:w="2153"/>
          </w:tcPr>
          <w:p>
            <w:r/>
            <w:r>
              <w:rPr>
                <w:rFonts w:ascii="Times New Roman" w:hAnsi="Times New Roman" w:eastAsia="宋体"/>
                <w:sz w:val="20"/>
              </w:rPr>
              <w:t>4.3</w:t>
            </w:r>
          </w:p>
        </w:tc>
        <w:tc>
          <w:tcPr>
            <w:tcW w:type="dxa" w:w="2153"/>
          </w:tcPr>
          <w:p>
            <w:r/>
            <w:r>
              <w:rPr>
                <w:rFonts w:ascii="Times New Roman" w:hAnsi="Times New Roman" w:eastAsia="宋体"/>
                <w:sz w:val="20"/>
              </w:rPr>
              <w:t>+13.2%</w:t>
            </w:r>
          </w:p>
        </w:tc>
      </w:tr>
      <w:tr>
        <w:tc>
          <w:tcPr>
            <w:tcW w:type="dxa" w:w="2153"/>
          </w:tcPr>
          <w:p>
            <w:r/>
            <w:r>
              <w:rPr>
                <w:rFonts w:ascii="Times New Roman" w:hAnsi="Times New Roman" w:eastAsia="宋体"/>
                <w:sz w:val="20"/>
              </w:rPr>
              <w:t>等待时间满意度</w:t>
            </w:r>
          </w:p>
        </w:tc>
        <w:tc>
          <w:tcPr>
            <w:tcW w:type="dxa" w:w="2153"/>
          </w:tcPr>
          <w:p>
            <w:r/>
            <w:r>
              <w:rPr>
                <w:rFonts w:ascii="Times New Roman" w:hAnsi="Times New Roman" w:eastAsia="宋体"/>
                <w:sz w:val="20"/>
              </w:rPr>
              <w:t>3.2</w:t>
            </w:r>
          </w:p>
        </w:tc>
        <w:tc>
          <w:tcPr>
            <w:tcW w:type="dxa" w:w="2153"/>
          </w:tcPr>
          <w:p>
            <w:r/>
            <w:r>
              <w:rPr>
                <w:rFonts w:ascii="Times New Roman" w:hAnsi="Times New Roman" w:eastAsia="宋体"/>
                <w:sz w:val="20"/>
              </w:rPr>
              <w:t>4.1</w:t>
            </w:r>
          </w:p>
        </w:tc>
        <w:tc>
          <w:tcPr>
            <w:tcW w:type="dxa" w:w="2153"/>
          </w:tcPr>
          <w:p>
            <w:r/>
            <w:r>
              <w:rPr>
                <w:rFonts w:ascii="Times New Roman" w:hAnsi="Times New Roman" w:eastAsia="宋体"/>
                <w:sz w:val="20"/>
              </w:rPr>
              <w:t>+28.1%</w:t>
            </w:r>
          </w:p>
        </w:tc>
      </w:tr>
      <w:tr>
        <w:tc>
          <w:tcPr>
            <w:tcW w:type="dxa" w:w="2153"/>
          </w:tcPr>
          <w:p>
            <w:r/>
            <w:r>
              <w:rPr>
                <w:rFonts w:ascii="Times New Roman" w:hAnsi="Times New Roman" w:eastAsia="宋体"/>
                <w:sz w:val="20"/>
              </w:rPr>
              <w:t>操作便捷度满意度</w:t>
            </w:r>
          </w:p>
        </w:tc>
        <w:tc>
          <w:tcPr>
            <w:tcW w:type="dxa" w:w="2153"/>
          </w:tcPr>
          <w:p>
            <w:r/>
            <w:r>
              <w:rPr>
                <w:rFonts w:ascii="Times New Roman" w:hAnsi="Times New Roman" w:eastAsia="宋体"/>
                <w:sz w:val="20"/>
              </w:rPr>
              <w:t>3.6</w:t>
            </w:r>
          </w:p>
        </w:tc>
        <w:tc>
          <w:tcPr>
            <w:tcW w:type="dxa" w:w="2153"/>
          </w:tcPr>
          <w:p>
            <w:r/>
            <w:r>
              <w:rPr>
                <w:rFonts w:ascii="Times New Roman" w:hAnsi="Times New Roman" w:eastAsia="宋体"/>
                <w:sz w:val="20"/>
              </w:rPr>
              <w:t>4.2</w:t>
            </w:r>
          </w:p>
        </w:tc>
        <w:tc>
          <w:tcPr>
            <w:tcW w:type="dxa" w:w="2153"/>
          </w:tcPr>
          <w:p>
            <w:r/>
            <w:r>
              <w:rPr>
                <w:rFonts w:ascii="Times New Roman" w:hAnsi="Times New Roman" w:eastAsia="宋体"/>
                <w:sz w:val="20"/>
              </w:rPr>
              <w:t>+16.7%</w:t>
            </w:r>
          </w:p>
        </w:tc>
      </w:tr>
      <w:tr>
        <w:tc>
          <w:tcPr>
            <w:tcW w:type="dxa" w:w="2153"/>
          </w:tcPr>
          <w:p>
            <w:r/>
            <w:r>
              <w:rPr>
                <w:rFonts w:ascii="Times New Roman" w:hAnsi="Times New Roman" w:eastAsia="宋体"/>
                <w:sz w:val="20"/>
              </w:rPr>
              <w:t>主动投诉率</w:t>
            </w:r>
          </w:p>
        </w:tc>
        <w:tc>
          <w:tcPr>
            <w:tcW w:type="dxa" w:w="2153"/>
          </w:tcPr>
          <w:p>
            <w:r/>
            <w:r>
              <w:rPr>
                <w:rFonts w:ascii="Times New Roman" w:hAnsi="Times New Roman" w:eastAsia="宋体"/>
                <w:sz w:val="20"/>
              </w:rPr>
              <w:t>2.8%</w:t>
            </w:r>
          </w:p>
        </w:tc>
        <w:tc>
          <w:tcPr>
            <w:tcW w:type="dxa" w:w="2153"/>
          </w:tcPr>
          <w:p>
            <w:r/>
            <w:r>
              <w:rPr>
                <w:rFonts w:ascii="Times New Roman" w:hAnsi="Times New Roman" w:eastAsia="宋体"/>
                <w:sz w:val="20"/>
              </w:rPr>
              <w:t>1.5%</w:t>
            </w:r>
          </w:p>
        </w:tc>
        <w:tc>
          <w:tcPr>
            <w:tcW w:type="dxa" w:w="2153"/>
          </w:tcPr>
          <w:p>
            <w:r/>
            <w:r>
              <w:rPr>
                <w:rFonts w:ascii="Times New Roman" w:hAnsi="Times New Roman" w:eastAsia="宋体"/>
                <w:sz w:val="20"/>
              </w:rPr>
              <w:t>-1.3个百分点</w:t>
            </w:r>
          </w:p>
        </w:tc>
      </w:tr>
    </w:tbl>
    <w:p/>
    <w:p>
      <w:pPr>
        <w:spacing w:line="400" w:lineRule="exact" w:before="0" w:after="0"/>
        <w:ind w:firstLine="480"/>
        <w:jc w:val="both"/>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pPr>
        <w:spacing w:line="240" w:lineRule="auto" w:before="240" w:after="120"/>
        <w:ind w:firstLine="520"/>
        <w:outlineLvl w:val="2"/>
      </w:pPr>
      <w:r>
        <w:rPr>
          <w:rFonts w:ascii="Times New Roman" w:hAnsi="Times New Roman" w:eastAsia="黑体"/>
          <w:b/>
          <w:sz w:val="26"/>
        </w:rPr>
        <w:t>三、基于AHP的综合效果评价</w:t>
      </w:r>
    </w:p>
    <w:p>
      <w:pPr>
        <w:spacing w:line="400" w:lineRule="exact" w:before="0" w:after="0"/>
        <w:ind w:firstLine="480"/>
        <w:jc w:val="both"/>
      </w:pPr>
      <w:r>
        <w:rPr>
          <w:rFonts w:ascii="Times New Roman" w:hAnsi="Times New Roman" w:eastAsia="宋体"/>
          <w:b w:val="0"/>
          <w:sz w:val="24"/>
        </w:rPr>
        <w:t>为进一步综合评估优化方案的效果，本节运用AHP方法从多个维度对优化前后的表现进行综合评分。</w:t>
      </w:r>
    </w:p>
    <w:p>
      <w:pPr>
        <w:spacing w:line="400" w:lineRule="exact" w:before="0" w:after="0"/>
        <w:ind w:firstLine="480"/>
        <w:jc w:val="both"/>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pPr>
        <w:spacing w:line="240" w:lineRule="auto" w:before="120" w:after="120"/>
        <w:jc w:val="center"/>
      </w:pPr>
      <w:r>
        <w:rPr>
          <w:rFonts w:ascii="Times New Roman" w:hAnsi="Times New Roman" w:eastAsia="宋体"/>
          <w:b w:val="0"/>
          <w:sz w:val="21"/>
        </w:rPr>
        <w:t>表5.6　优化效果AHP综合评分</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评价维度</w:t>
            </w:r>
          </w:p>
        </w:tc>
        <w:tc>
          <w:tcPr>
            <w:tcW w:type="dxa" w:w="1722"/>
            <w:tcBorders>
              <w:bottom w:val="single" w:sz="12" w:space="0" w:color="000000"/>
            </w:tcBorders>
          </w:tcPr>
          <w:p>
            <w:pPr>
              <w:jc w:val="center"/>
            </w:pPr>
            <w:r/>
            <w:r>
              <w:rPr>
                <w:rFonts w:ascii="Times New Roman" w:hAnsi="Times New Roman" w:eastAsia="宋体"/>
                <w:b/>
                <w:sz w:val="20"/>
              </w:rPr>
              <w:t>权重</w:t>
            </w:r>
          </w:p>
        </w:tc>
        <w:tc>
          <w:tcPr>
            <w:tcW w:type="dxa" w:w="1722"/>
            <w:tcBorders>
              <w:bottom w:val="single" w:sz="12" w:space="0" w:color="000000"/>
            </w:tcBorders>
          </w:tcPr>
          <w:p>
            <w:pPr>
              <w:jc w:val="center"/>
            </w:pPr>
            <w:r/>
            <w:r>
              <w:rPr>
                <w:rFonts w:ascii="Times New Roman" w:hAnsi="Times New Roman" w:eastAsia="宋体"/>
                <w:b/>
                <w:sz w:val="20"/>
              </w:rPr>
              <w:t>优化前得分</w:t>
            </w:r>
          </w:p>
        </w:tc>
        <w:tc>
          <w:tcPr>
            <w:tcW w:type="dxa" w:w="1722"/>
            <w:tcBorders>
              <w:bottom w:val="single" w:sz="12" w:space="0" w:color="000000"/>
            </w:tcBorders>
          </w:tcPr>
          <w:p>
            <w:pPr>
              <w:jc w:val="center"/>
            </w:pPr>
            <w:r/>
            <w:r>
              <w:rPr>
                <w:rFonts w:ascii="Times New Roman" w:hAnsi="Times New Roman" w:eastAsia="宋体"/>
                <w:b/>
                <w:sz w:val="20"/>
              </w:rPr>
              <w:t>优化后得分</w:t>
            </w:r>
          </w:p>
        </w:tc>
        <w:tc>
          <w:tcPr>
            <w:tcW w:type="dxa" w:w="1722"/>
            <w:tcBorders>
              <w:bottom w:val="single" w:sz="12" w:space="0" w:color="000000"/>
            </w:tcBorders>
          </w:tcPr>
          <w:p>
            <w:pPr>
              <w:jc w:val="center"/>
            </w:pPr>
            <w:r/>
            <w:r>
              <w:rPr>
                <w:rFonts w:ascii="Times New Roman" w:hAnsi="Times New Roman" w:eastAsia="宋体"/>
                <w:b/>
                <w:sz w:val="20"/>
              </w:rPr>
              <w:t>加权贡献（优化后）</w:t>
            </w:r>
          </w:p>
        </w:tc>
      </w:tr>
      <w:tr>
        <w:tc>
          <w:tcPr>
            <w:tcW w:type="dxa" w:w="1722"/>
          </w:tcPr>
          <w:p>
            <w:r/>
            <w:r>
              <w:rPr>
                <w:rFonts w:ascii="Times New Roman" w:hAnsi="Times New Roman" w:eastAsia="宋体"/>
                <w:sz w:val="20"/>
              </w:rPr>
              <w:t>影响程度（瓶颈消除度）</w:t>
            </w:r>
          </w:p>
        </w:tc>
        <w:tc>
          <w:tcPr>
            <w:tcW w:type="dxa" w:w="1722"/>
          </w:tcPr>
          <w:p>
            <w:r/>
            <w:r>
              <w:rPr>
                <w:rFonts w:ascii="Times New Roman" w:hAnsi="Times New Roman" w:eastAsia="宋体"/>
                <w:sz w:val="20"/>
              </w:rPr>
              <w:t>0.367</w:t>
            </w:r>
          </w:p>
        </w:tc>
        <w:tc>
          <w:tcPr>
            <w:tcW w:type="dxa" w:w="1722"/>
          </w:tcPr>
          <w:p>
            <w:r/>
            <w:r>
              <w:rPr>
                <w:rFonts w:ascii="Times New Roman" w:hAnsi="Times New Roman" w:eastAsia="宋体"/>
                <w:sz w:val="20"/>
              </w:rPr>
              <w:t>2.5</w:t>
            </w:r>
          </w:p>
        </w:tc>
        <w:tc>
          <w:tcPr>
            <w:tcW w:type="dxa" w:w="1722"/>
          </w:tcPr>
          <w:p>
            <w:r/>
            <w:r>
              <w:rPr>
                <w:rFonts w:ascii="Times New Roman" w:hAnsi="Times New Roman" w:eastAsia="宋体"/>
                <w:sz w:val="20"/>
              </w:rPr>
              <w:t>4.2</w:t>
            </w:r>
          </w:p>
        </w:tc>
        <w:tc>
          <w:tcPr>
            <w:tcW w:type="dxa" w:w="1722"/>
          </w:tcPr>
          <w:p>
            <w:r/>
            <w:r>
              <w:rPr>
                <w:rFonts w:ascii="Times New Roman" w:hAnsi="Times New Roman" w:eastAsia="宋体"/>
                <w:sz w:val="20"/>
              </w:rPr>
              <w:t>1.541</w:t>
            </w:r>
          </w:p>
        </w:tc>
      </w:tr>
      <w:tr>
        <w:tc>
          <w:tcPr>
            <w:tcW w:type="dxa" w:w="1722"/>
          </w:tcPr>
          <w:p>
            <w:r/>
            <w:r>
              <w:rPr>
                <w:rFonts w:ascii="Times New Roman" w:hAnsi="Times New Roman" w:eastAsia="宋体"/>
                <w:sz w:val="20"/>
              </w:rPr>
              <w:t>改造成本（预算匹配度）</w:t>
            </w:r>
          </w:p>
        </w:tc>
        <w:tc>
          <w:tcPr>
            <w:tcW w:type="dxa" w:w="1722"/>
          </w:tcPr>
          <w:p>
            <w:r/>
            <w:r>
              <w:rPr>
                <w:rFonts w:ascii="Times New Roman" w:hAnsi="Times New Roman" w:eastAsia="宋体"/>
                <w:sz w:val="20"/>
              </w:rPr>
              <w:t>0.109</w:t>
            </w:r>
          </w:p>
        </w:tc>
        <w:tc>
          <w:tcPr>
            <w:tcW w:type="dxa" w:w="1722"/>
          </w:tcPr>
          <w:p>
            <w:r/>
            <w:r>
              <w:rPr>
                <w:rFonts w:ascii="Times New Roman" w:hAnsi="Times New Roman" w:eastAsia="宋体"/>
                <w:sz w:val="20"/>
              </w:rPr>
              <w:t>—</w:t>
            </w:r>
          </w:p>
        </w:tc>
        <w:tc>
          <w:tcPr>
            <w:tcW w:type="dxa" w:w="1722"/>
          </w:tcPr>
          <w:p>
            <w:r/>
            <w:r>
              <w:rPr>
                <w:rFonts w:ascii="Times New Roman" w:hAnsi="Times New Roman" w:eastAsia="宋体"/>
                <w:sz w:val="20"/>
              </w:rPr>
              <w:t>3.8</w:t>
            </w:r>
          </w:p>
        </w:tc>
        <w:tc>
          <w:tcPr>
            <w:tcW w:type="dxa" w:w="1722"/>
          </w:tcPr>
          <w:p>
            <w:r/>
            <w:r>
              <w:rPr>
                <w:rFonts w:ascii="Times New Roman" w:hAnsi="Times New Roman" w:eastAsia="宋体"/>
                <w:sz w:val="20"/>
              </w:rPr>
              <w:t>0.414</w:t>
            </w:r>
          </w:p>
        </w:tc>
      </w:tr>
      <w:tr>
        <w:tc>
          <w:tcPr>
            <w:tcW w:type="dxa" w:w="1722"/>
          </w:tcPr>
          <w:p>
            <w:r/>
            <w:r>
              <w:rPr>
                <w:rFonts w:ascii="Times New Roman" w:hAnsi="Times New Roman" w:eastAsia="宋体"/>
                <w:sz w:val="20"/>
              </w:rPr>
              <w:t>实施难度（实施顺畅度）</w:t>
            </w:r>
          </w:p>
        </w:tc>
        <w:tc>
          <w:tcPr>
            <w:tcW w:type="dxa" w:w="1722"/>
          </w:tcPr>
          <w:p>
            <w:r/>
            <w:r>
              <w:rPr>
                <w:rFonts w:ascii="Times New Roman" w:hAnsi="Times New Roman" w:eastAsia="宋体"/>
                <w:sz w:val="20"/>
              </w:rPr>
              <w:t>0.068</w:t>
            </w:r>
          </w:p>
        </w:tc>
        <w:tc>
          <w:tcPr>
            <w:tcW w:type="dxa" w:w="1722"/>
          </w:tcPr>
          <w:p>
            <w:r/>
            <w:r>
              <w:rPr>
                <w:rFonts w:ascii="Times New Roman" w:hAnsi="Times New Roman" w:eastAsia="宋体"/>
                <w:sz w:val="20"/>
              </w:rPr>
              <w:t>—</w:t>
            </w:r>
          </w:p>
        </w:tc>
        <w:tc>
          <w:tcPr>
            <w:tcW w:type="dxa" w:w="1722"/>
          </w:tcPr>
          <w:p>
            <w:r/>
            <w:r>
              <w:rPr>
                <w:rFonts w:ascii="Times New Roman" w:hAnsi="Times New Roman" w:eastAsia="宋体"/>
                <w:sz w:val="20"/>
              </w:rPr>
              <w:t>3.5</w:t>
            </w:r>
          </w:p>
        </w:tc>
        <w:tc>
          <w:tcPr>
            <w:tcW w:type="dxa" w:w="1722"/>
          </w:tcPr>
          <w:p>
            <w:r/>
            <w:r>
              <w:rPr>
                <w:rFonts w:ascii="Times New Roman" w:hAnsi="Times New Roman" w:eastAsia="宋体"/>
                <w:sz w:val="20"/>
              </w:rPr>
              <w:t>0.238</w:t>
            </w:r>
          </w:p>
        </w:tc>
      </w:tr>
      <w:tr>
        <w:tc>
          <w:tcPr>
            <w:tcW w:type="dxa" w:w="1722"/>
          </w:tcPr>
          <w:p>
            <w:r/>
            <w:r>
              <w:rPr>
                <w:rFonts w:ascii="Times New Roman" w:hAnsi="Times New Roman" w:eastAsia="宋体"/>
                <w:sz w:val="20"/>
              </w:rPr>
              <w:t>预期效果（KPI达成度）</w:t>
            </w:r>
          </w:p>
        </w:tc>
        <w:tc>
          <w:tcPr>
            <w:tcW w:type="dxa" w:w="1722"/>
          </w:tcPr>
          <w:p>
            <w:r/>
            <w:r>
              <w:rPr>
                <w:rFonts w:ascii="Times New Roman" w:hAnsi="Times New Roman" w:eastAsia="宋体"/>
                <w:sz w:val="20"/>
              </w:rPr>
              <w:t>0.228</w:t>
            </w:r>
          </w:p>
        </w:tc>
        <w:tc>
          <w:tcPr>
            <w:tcW w:type="dxa" w:w="1722"/>
          </w:tcPr>
          <w:p>
            <w:r/>
            <w:r>
              <w:rPr>
                <w:rFonts w:ascii="Times New Roman" w:hAnsi="Times New Roman" w:eastAsia="宋体"/>
                <w:sz w:val="20"/>
              </w:rPr>
              <w:t>2.0</w:t>
            </w:r>
          </w:p>
        </w:tc>
        <w:tc>
          <w:tcPr>
            <w:tcW w:type="dxa" w:w="1722"/>
          </w:tcPr>
          <w:p>
            <w:r/>
            <w:r>
              <w:rPr>
                <w:rFonts w:ascii="Times New Roman" w:hAnsi="Times New Roman" w:eastAsia="宋体"/>
                <w:sz w:val="20"/>
              </w:rPr>
              <w:t>4.0</w:t>
            </w:r>
          </w:p>
        </w:tc>
        <w:tc>
          <w:tcPr>
            <w:tcW w:type="dxa" w:w="1722"/>
          </w:tcPr>
          <w:p>
            <w:r/>
            <w:r>
              <w:rPr>
                <w:rFonts w:ascii="Times New Roman" w:hAnsi="Times New Roman" w:eastAsia="宋体"/>
                <w:sz w:val="20"/>
              </w:rPr>
              <w:t>0.912</w:t>
            </w:r>
          </w:p>
        </w:tc>
      </w:tr>
      <w:tr>
        <w:tc>
          <w:tcPr>
            <w:tcW w:type="dxa" w:w="1722"/>
          </w:tcPr>
          <w:p>
            <w:r/>
            <w:r>
              <w:rPr>
                <w:rFonts w:ascii="Times New Roman" w:hAnsi="Times New Roman" w:eastAsia="宋体"/>
                <w:sz w:val="20"/>
              </w:rPr>
              <w:t>患者影响（满意度改善）</w:t>
            </w:r>
          </w:p>
        </w:tc>
        <w:tc>
          <w:tcPr>
            <w:tcW w:type="dxa" w:w="1722"/>
          </w:tcPr>
          <w:p>
            <w:r/>
            <w:r>
              <w:rPr>
                <w:rFonts w:ascii="Times New Roman" w:hAnsi="Times New Roman" w:eastAsia="宋体"/>
                <w:sz w:val="20"/>
              </w:rPr>
              <w:t>0.228</w:t>
            </w:r>
          </w:p>
        </w:tc>
        <w:tc>
          <w:tcPr>
            <w:tcW w:type="dxa" w:w="1722"/>
          </w:tcPr>
          <w:p>
            <w:r/>
            <w:r>
              <w:rPr>
                <w:rFonts w:ascii="Times New Roman" w:hAnsi="Times New Roman" w:eastAsia="宋体"/>
                <w:sz w:val="20"/>
              </w:rPr>
              <w:t>3.8</w:t>
            </w:r>
          </w:p>
        </w:tc>
        <w:tc>
          <w:tcPr>
            <w:tcW w:type="dxa" w:w="1722"/>
          </w:tcPr>
          <w:p>
            <w:r/>
            <w:r>
              <w:rPr>
                <w:rFonts w:ascii="Times New Roman" w:hAnsi="Times New Roman" w:eastAsia="宋体"/>
                <w:sz w:val="20"/>
              </w:rPr>
              <w:t>4.3</w:t>
            </w:r>
          </w:p>
        </w:tc>
        <w:tc>
          <w:tcPr>
            <w:tcW w:type="dxa" w:w="1722"/>
          </w:tcPr>
          <w:p>
            <w:r/>
            <w:r>
              <w:rPr>
                <w:rFonts w:ascii="Times New Roman" w:hAnsi="Times New Roman" w:eastAsia="宋体"/>
                <w:sz w:val="20"/>
              </w:rPr>
              <w:t>0.980</w:t>
            </w:r>
          </w:p>
        </w:tc>
      </w:tr>
      <w:tr>
        <w:tc>
          <w:tcPr>
            <w:tcW w:type="dxa" w:w="1722"/>
          </w:tcPr>
          <w:p>
            <w:r/>
            <w:r>
              <w:rPr>
                <w:rFonts w:ascii="Times New Roman" w:hAnsi="Times New Roman" w:eastAsia="宋体"/>
                <w:sz w:val="20"/>
              </w:rPr>
              <w:t>综合得分</w:t>
            </w:r>
          </w:p>
        </w:tc>
        <w:tc>
          <w:tcPr>
            <w:tcW w:type="dxa" w:w="1722"/>
          </w:tcPr>
          <w:p>
            <w:r/>
            <w:r>
              <w:rPr>
                <w:rFonts w:ascii="Times New Roman" w:hAnsi="Times New Roman" w:eastAsia="宋体"/>
                <w:sz w:val="20"/>
              </w:rPr>
              <w:t>1.000</w:t>
            </w:r>
          </w:p>
        </w:tc>
        <w:tc>
          <w:tcPr>
            <w:tcW w:type="dxa" w:w="1722"/>
          </w:tcPr>
          <w:p>
            <w:r/>
            <w:r>
              <w:rPr>
                <w:rFonts w:ascii="Times New Roman" w:hAnsi="Times New Roman" w:eastAsia="宋体"/>
                <w:sz w:val="20"/>
              </w:rPr>
              <w:t>2.72</w:t>
            </w:r>
          </w:p>
        </w:tc>
        <w:tc>
          <w:tcPr>
            <w:tcW w:type="dxa" w:w="1722"/>
          </w:tcPr>
          <w:p>
            <w:r/>
            <w:r>
              <w:rPr>
                <w:rFonts w:ascii="Times New Roman" w:hAnsi="Times New Roman" w:eastAsia="宋体"/>
                <w:sz w:val="20"/>
              </w:rPr>
              <w:t>4.09</w:t>
            </w:r>
          </w:p>
        </w:tc>
        <w:tc>
          <w:tcPr>
            <w:tcW w:type="dxa" w:w="1722"/>
          </w:tcPr>
          <w:p>
            <w:r/>
            <w:r>
              <w:rPr>
                <w:rFonts w:ascii="Times New Roman" w:hAnsi="Times New Roman" w:eastAsia="宋体"/>
                <w:sz w:val="20"/>
              </w:rPr>
              <w:t>综合改善+1.37（+50.4%）</w:t>
            </w:r>
          </w:p>
        </w:tc>
      </w:tr>
    </w:tbl>
    <w:p/>
    <w:p>
      <w:pPr>
        <w:spacing w:line="240" w:lineRule="auto" w:before="0" w:after="120"/>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pPr>
        <w:spacing w:line="400" w:lineRule="exact" w:before="0" w:after="0"/>
        <w:ind w:firstLine="480"/>
        <w:jc w:val="both"/>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pPr>
        <w:spacing w:line="240" w:lineRule="auto" w:before="240" w:after="120"/>
        <w:ind w:firstLine="520"/>
        <w:outlineLvl w:val="2"/>
      </w:pPr>
      <w:r>
        <w:rPr>
          <w:rFonts w:ascii="Times New Roman" w:hAnsi="Times New Roman" w:eastAsia="黑体"/>
          <w:b/>
          <w:sz w:val="26"/>
        </w:rPr>
        <w:t>四、优化效果讨论</w:t>
      </w:r>
    </w:p>
    <w:p>
      <w:pPr>
        <w:spacing w:line="240" w:lineRule="auto" w:before="240" w:after="120"/>
        <w:ind w:firstLine="480"/>
        <w:outlineLvl w:val="3"/>
      </w:pPr>
      <w:r>
        <w:rPr>
          <w:rFonts w:ascii="Times New Roman" w:hAnsi="Times New Roman" w:eastAsia="黑体"/>
          <w:b/>
          <w:sz w:val="24"/>
        </w:rPr>
        <w:t>（一）效果归因分析</w:t>
      </w:r>
    </w:p>
    <w:p>
      <w:pPr>
        <w:spacing w:line="400" w:lineRule="exact" w:before="0" w:after="0"/>
        <w:ind w:firstLine="480"/>
        <w:jc w:val="both"/>
      </w:pPr>
      <w:r>
        <w:rPr>
          <w:rFonts w:ascii="Times New Roman" w:hAnsi="Times New Roman" w:eastAsia="宋体"/>
          <w:b w:val="0"/>
          <w:sz w:val="24"/>
        </w:rPr>
        <w:t>优化方案实施后取得的流程效率提升可以归因于以下几个关键因素。</w:t>
      </w:r>
    </w:p>
    <w:p>
      <w:pPr>
        <w:spacing w:line="400" w:lineRule="exact" w:before="0" w:after="0"/>
        <w:ind w:firstLine="480"/>
        <w:jc w:val="both"/>
      </w:pPr>
      <w:r>
        <w:rPr>
          <w:rFonts w:ascii="Times New Roman" w:hAnsi="Times New Roman" w:eastAsia="宋体"/>
          <w:b w:val="0"/>
          <w:sz w:val="24"/>
        </w:rPr>
        <w:t>第一，数据驱动的诊断方法确保了优化方案的精准性。传统的流程改进往往依赖管理者的经验判断，“头痛医头、脚痛医脚”的情况并不少见。本研究先用过程分析法从一千余万条事件日志中客观识别瓶颈的位置和严重程度，再用AHP排出科学的优先级，有限的优化资源因此集中投到了最需要改进的环节。实施效果也印证了这一点。从实施效果来看，AHP排名前两位的B1（处方检查衔接）和B4（信息孤岛），对应的优化措施恰好覆盖了本次试点改善最显著的领域——B1相关措施带动检查预约至完成周期缩短29.1%，优化方案使平均接诊等待时间下降32.5%（以智能导诊与负荷分流子方案为主要贡献）；B4相关措施推动跨院区检查预约占比从0%提升至8.3%、检查设备日均利用率从62%提升至71%，信息孤岛打通取得了突破性进展。AHP优先级排序的有效性由此得到验证。</w:t>
      </w:r>
    </w:p>
    <w:p>
      <w:pPr>
        <w:spacing w:line="400" w:lineRule="exact" w:before="0" w:after="0"/>
        <w:ind w:firstLine="480"/>
        <w:jc w:val="both"/>
      </w:pPr>
      <w:r>
        <w:rPr>
          <w:rFonts w:ascii="Times New Roman" w:hAnsi="Times New Roman" w:eastAsia="宋体"/>
          <w:b w:val="0"/>
          <w:sz w:val="24"/>
        </w:rPr>
        <w:t>第二，系统层面的技术改进是效果可持续的关键。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pPr>
        <w:spacing w:line="400" w:lineRule="exact" w:before="0" w:after="0"/>
        <w:ind w:firstLine="480"/>
        <w:jc w:val="both"/>
      </w:pPr>
      <w:r>
        <w:rPr>
          <w:rFonts w:ascii="Times New Roman" w:hAnsi="Times New Roman" w:eastAsia="宋体"/>
          <w:b w:val="0"/>
          <w:sz w:val="24"/>
        </w:rPr>
        <w:t>第三，多方案并行实施的协同效应。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这种协同效应是整体效果显著的重要原因，但也带来了无法精确分解各子方案独立效果的局限。</w:t>
      </w:r>
    </w:p>
    <w:p>
      <w:pPr>
        <w:spacing w:line="240" w:lineRule="auto" w:before="240" w:after="120"/>
        <w:ind w:firstLine="480"/>
        <w:outlineLvl w:val="3"/>
      </w:pPr>
      <w:r>
        <w:rPr>
          <w:rFonts w:ascii="Times New Roman" w:hAnsi="Times New Roman" w:eastAsia="黑体"/>
          <w:b/>
          <w:sz w:val="24"/>
        </w:rPr>
        <w:t>（二）方案可推广性评估</w:t>
      </w:r>
    </w:p>
    <w:p>
      <w:pPr>
        <w:spacing w:line="400" w:lineRule="exact" w:before="0" w:after="0"/>
        <w:ind w:firstLine="480"/>
        <w:jc w:val="both"/>
      </w:pPr>
      <w:r>
        <w:rPr>
          <w:rFonts w:ascii="Times New Roman" w:hAnsi="Times New Roman" w:eastAsia="宋体"/>
          <w:b w:val="0"/>
          <w:sz w:val="24"/>
        </w:rPr>
        <w:t>从医院A的试点经验来看，优化方案具备向集团内其他院区推广的基本条件。然而，推广过程中需要关注以下差异化因素。</w:t>
      </w:r>
    </w:p>
    <w:p>
      <w:pPr>
        <w:spacing w:line="400" w:lineRule="exact" w:before="0" w:after="0"/>
        <w:ind w:firstLine="480"/>
        <w:jc w:val="both"/>
      </w:pPr>
      <w:r>
        <w:rPr>
          <w:rFonts w:ascii="Times New Roman" w:hAnsi="Times New Roman" w:eastAsia="宋体"/>
          <w:b w:val="0"/>
          <w:sz w:val="24"/>
        </w:rPr>
        <w:t>医院B和医院C在服务体量和信息系统基础上与医院A存在差异。医院B使用B厂商V3.8系统，技术上与优化方案的兼容性预计较好；其D、E分院区同属B厂商体系（分别为V3.5、V3.4较早版本）且体量较小，版本适配可随本部推广一并完成，跨院区资源调度等部分方案按分院区实际需求规模适度裁剪。医院C使用C厂商V4.5系统，版本虽不陈旧，但其数据模型与接口标准与其他厂商不同，在推广前需要额外投入前置机适配器的开发工作。建议的推广顺序为：优先推广至医院B（含其D、E分院区，同厂商系统、技术条件最接近），随后推广至医院C（需额外适配开发）。</w:t>
      </w:r>
    </w:p>
    <w:p>
      <w:pPr>
        <w:spacing w:line="400" w:lineRule="exact" w:before="0" w:after="0"/>
        <w:ind w:firstLine="480"/>
        <w:jc w:val="both"/>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pPr>
        <w:spacing w:line="400" w:lineRule="exact" w:before="0" w:after="0"/>
        <w:ind w:firstLine="480"/>
        <w:jc w:val="both"/>
      </w:pPr>
      <w:r>
        <w:rPr>
          <w:rFonts w:ascii="Times New Roman" w:hAnsi="Times New Roman" w:eastAsia="宋体"/>
          <w:b w:val="0"/>
          <w:sz w:val="24"/>
        </w:rPr>
        <w:t>在更广泛的意义上，本研究提出的“Process Mining诊断→AHP优先级排序→服务蓝图建模→准实验验证”四步方法论，不仅适用于A医药集团的互联网医院，对于其他面临类似多院区流程协同挑战的医疗集团也具有一定的参考价值。方法的推广有两个前提：一是信息系统能够输出符合过程分析法要求的事件日志数据（含Case ID、Activity和Timestamp三要素）；二是管理层对数据驱动的流程改进方法有基本的支持和配合意愿。</w:t>
      </w:r>
    </w:p>
    <w:p>
      <w:pPr>
        <w:spacing w:line="240" w:lineRule="auto" w:before="480" w:after="360"/>
        <w:jc w:val="center"/>
        <w:outlineLvl w:val="0"/>
      </w:pPr>
      <w:r>
        <w:rPr>
          <w:rFonts w:ascii="Times New Roman" w:hAnsi="Times New Roman" w:eastAsia="黑体"/>
          <w:b/>
          <w:sz w:val="32"/>
        </w:rPr>
        <w:t>第六章　结论与展望</w:t>
      </w:r>
    </w:p>
    <w:p>
      <w:pPr>
        <w:spacing w:line="240" w:lineRule="auto" w:before="480" w:after="120"/>
        <w:jc w:val="center"/>
        <w:outlineLvl w:val="1"/>
      </w:pPr>
      <w:r>
        <w:rPr>
          <w:rFonts w:ascii="Times New Roman" w:hAnsi="Times New Roman" w:eastAsia="黑体"/>
          <w:b/>
          <w:sz w:val="28"/>
        </w:rPr>
        <w:t>第一节　研究结论</w:t>
      </w:r>
    </w:p>
    <w:p>
      <w:pPr>
        <w:spacing w:line="400" w:lineRule="exact" w:before="0" w:after="0"/>
        <w:ind w:firstLine="480"/>
        <w:jc w:val="both"/>
      </w:pPr>
      <w:r>
        <w:rPr>
          <w:rFonts w:ascii="Times New Roman" w:hAnsi="Times New Roman" w:eastAsia="宋体"/>
          <w:b w:val="0"/>
          <w:sz w:val="24"/>
        </w:rPr>
        <w:t>本研究以数字化转型背景下的A医药集团互联网医院为对象，综合运用过程分析法、层次分析法、服务蓝图法和准实验法，对多院区互联网医院的服务流程完成了数据驱动的系统诊断、优先级评价、优化方案设计和效果验证。主要结论如下。</w:t>
      </w:r>
    </w:p>
    <w:p>
      <w:pPr>
        <w:spacing w:line="240" w:lineRule="auto" w:before="240" w:after="120"/>
        <w:ind w:firstLine="520"/>
        <w:outlineLvl w:val="2"/>
      </w:pPr>
      <w:r>
        <w:rPr>
          <w:rFonts w:ascii="Times New Roman" w:hAnsi="Times New Roman" w:eastAsia="黑体"/>
          <w:b/>
          <w:sz w:val="26"/>
        </w:rPr>
        <w:t>一、三个核心问题的回答</w:t>
      </w:r>
    </w:p>
    <w:p>
      <w:pPr>
        <w:spacing w:line="400" w:lineRule="exact" w:before="0" w:after="0"/>
        <w:ind w:firstLine="480"/>
        <w:jc w:val="both"/>
      </w:pPr>
      <w:r>
        <w:rPr>
          <w:rFonts w:ascii="Times New Roman" w:hAnsi="Times New Roman" w:eastAsia="宋体"/>
          <w:b w:val="0"/>
          <w:sz w:val="24"/>
        </w:rPr>
        <w:t>第一，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一千余万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涵盖问诊检查闭环优化、处方取药链路打通、智能导诊分流和信息同步保障四个子方案，且在试点院区实施后取得了显著效果：接诊等待时间减少32.5%、检查预约至完成周期缩短29.1%、处方到取药耗时减少33.4%、返工率下降2.3个百分点。这些数据证实了通过系统化的流程再造可以从根本上改善线上线下的衔接效率。</w:t>
      </w:r>
    </w:p>
    <w:p>
      <w:pPr>
        <w:spacing w:line="400" w:lineRule="exact" w:before="0" w:after="0"/>
        <w:ind w:firstLine="480"/>
        <w:jc w:val="both"/>
      </w:pPr>
      <w:r>
        <w:rPr>
          <w:rFonts w:ascii="Times New Roman" w:hAnsi="Times New Roman" w:eastAsia="宋体"/>
          <w:b w:val="0"/>
          <w:sz w:val="24"/>
        </w:rPr>
        <w:t>第二，关于多院区协同障碍问题。研究发现，A医药集团多院区协同不畅的根源在于三个层面的结构性障碍。在技术层面，各院区HIS系统厂商及系统版本不一，数据标准也不统一，缺乏跨院区的数据互通机制。在管理层面，各院区在接诊时限、处方审核标准和检查结果互认等方面的服务标准不一致，导致跨院区服务体验的显著差异。在组织层面，集团缺乏跨院区资源调度的统一机制，优质专家资源被“锁定”在各自院区。本研究设计的多院区协同机制，包含统一患者身份标识与数据互通、跨院区资源调度与转诊、集中化质控与分布式执行三个层次，在试点中初步验证了可行性：跨院区检查预约占比从0%提升至8.3%，检查设备日均利用率从62%提升至71%，实现了集团内检查资源的跨院区共享。</w:t>
      </w:r>
    </w:p>
    <w:p>
      <w:pPr>
        <w:spacing w:line="400" w:lineRule="exact" w:before="0" w:after="0"/>
        <w:ind w:firstLine="480"/>
        <w:jc w:val="both"/>
      </w:pPr>
      <w:r>
        <w:rPr>
          <w:rFonts w:ascii="Times New Roman" w:hAnsi="Times New Roman" w:eastAsia="宋体"/>
          <w:b w:val="0"/>
          <w:sz w:val="24"/>
        </w:rPr>
        <w:t>第三，关于运营数据利用不足问题。研究发现，A医药集团互联网医院平台虽然已积累一千余万条事件日志数据，但数据的利用停留在描述性统计层面，缺乏流程视角的分析和决策支持。本研究提出的“过程分析法（客观诊断）+ 层次分析法（科学排序）+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pPr>
        <w:spacing w:line="240" w:lineRule="auto" w:before="240" w:after="120"/>
        <w:ind w:firstLine="520"/>
        <w:outlineLvl w:val="2"/>
      </w:pPr>
      <w:r>
        <w:rPr>
          <w:rFonts w:ascii="Times New Roman" w:hAnsi="Times New Roman" w:eastAsia="黑体"/>
          <w:b/>
          <w:sz w:val="26"/>
        </w:rPr>
        <w:t>二、主要研究发现</w:t>
      </w:r>
    </w:p>
    <w:p>
      <w:pPr>
        <w:spacing w:line="400" w:lineRule="exact" w:before="0" w:after="0"/>
        <w:ind w:firstLine="480"/>
        <w:jc w:val="both"/>
      </w:pPr>
      <w:r>
        <w:rPr>
          <w:rFonts w:ascii="Times New Roman" w:hAnsi="Times New Roman" w:eastAsia="宋体"/>
          <w:b w:val="0"/>
          <w:sz w:val="24"/>
        </w:rPr>
        <w:t>除了上述的三个核心问题之外，研究过程中还沉淀出五项值得单独陈述的发现。</w:t>
      </w:r>
    </w:p>
    <w:p>
      <w:pPr>
        <w:spacing w:line="400" w:lineRule="exact" w:before="0" w:after="0"/>
        <w:ind w:firstLine="480"/>
        <w:jc w:val="both"/>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pPr>
        <w:spacing w:line="400" w:lineRule="exact" w:before="0" w:after="0"/>
        <w:ind w:firstLine="480"/>
        <w:jc w:val="both"/>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优化方案使平均接诊等待时间下降32.5%（以智能导诊与负荷分流子方案为主要贡献）；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pPr>
        <w:spacing w:line="400" w:lineRule="exact" w:before="0" w:after="0"/>
        <w:ind w:firstLine="480"/>
        <w:jc w:val="both"/>
      </w:pPr>
      <w:r>
        <w:rPr>
          <w:rFonts w:ascii="Times New Roman" w:hAnsi="Times New Roman" w:eastAsia="宋体"/>
          <w:b w:val="0"/>
          <w:sz w:val="24"/>
        </w:rPr>
        <w:t>发现三：试点院区的技术基础和管理配合度是优化方案落地的关键成功因素。医院A作为集团标杆医院，数字化程度最高，HIS系统版本较新，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pPr>
        <w:spacing w:line="400" w:lineRule="exact" w:before="0" w:after="0"/>
        <w:ind w:firstLine="480"/>
        <w:jc w:val="both"/>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pPr>
        <w:spacing w:line="400" w:lineRule="exact" w:before="0" w:after="0"/>
        <w:ind w:firstLine="480"/>
        <w:jc w:val="both"/>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pPr>
        <w:spacing w:line="240" w:lineRule="auto" w:before="480" w:after="120"/>
        <w:jc w:val="center"/>
        <w:outlineLvl w:val="1"/>
      </w:pPr>
      <w:r>
        <w:rPr>
          <w:rFonts w:ascii="Times New Roman" w:hAnsi="Times New Roman" w:eastAsia="黑体"/>
          <w:b/>
          <w:sz w:val="28"/>
        </w:rPr>
        <w:t>第二节　理论贡献与管理启示</w:t>
      </w:r>
    </w:p>
    <w:p>
      <w:pPr>
        <w:spacing w:line="240" w:lineRule="auto" w:before="240" w:after="120"/>
        <w:ind w:firstLine="520"/>
        <w:outlineLvl w:val="2"/>
      </w:pPr>
      <w:r>
        <w:rPr>
          <w:rFonts w:ascii="Times New Roman" w:hAnsi="Times New Roman" w:eastAsia="黑体"/>
          <w:b/>
          <w:sz w:val="26"/>
        </w:rPr>
        <w:t>一、学术贡献</w:t>
      </w:r>
    </w:p>
    <w:p>
      <w:pPr>
        <w:spacing w:line="400" w:lineRule="exact" w:before="0" w:after="0"/>
        <w:ind w:firstLine="480"/>
        <w:jc w:val="both"/>
      </w:pPr>
      <w:r>
        <w:rPr>
          <w:rFonts w:ascii="Times New Roman" w:hAnsi="Times New Roman" w:eastAsia="宋体"/>
          <w:b w:val="0"/>
          <w:sz w:val="24"/>
        </w:rPr>
        <w:t>本研究的学术贡献可区分为两个层次：贡献一与贡献二属于方法论贡献，它们是对流程优化方法的应用整合与场景拓展，而非对某一基础理论本身的修正；贡献三属于理论工具层面的贡献，为多院区协同管理研究增加了可量化、可操作的决策分析工具。具体阐述如下。</w:t>
      </w:r>
    </w:p>
    <w:p>
      <w:pPr>
        <w:spacing w:line="400" w:lineRule="exact" w:before="0" w:after="0"/>
        <w:ind w:firstLine="480"/>
        <w:jc w:val="both"/>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拉通数据分析和管理沟通，用准实验法验证方案的真实效果。四种方法之间是相互咬合的：过程分析法为AHP评价提供客观输入，AHP的排序结果反过来划定蓝图优化设计的重点，准实验的实测数据又回头检验前三个环节是否成立。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pPr>
        <w:spacing w:line="400" w:lineRule="exact" w:before="0" w:after="0"/>
        <w:ind w:firstLine="480"/>
        <w:jc w:val="both"/>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而本研究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pPr>
        <w:spacing w:line="400" w:lineRule="exact" w:before="0" w:after="0"/>
        <w:ind w:firstLine="480"/>
        <w:jc w:val="both"/>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也使互联网医院研究的焦点从“如何建设”延伸到“如何用好”。</w:t>
      </w:r>
    </w:p>
    <w:p>
      <w:pPr>
        <w:spacing w:line="240" w:lineRule="auto" w:before="240" w:after="120"/>
        <w:ind w:firstLine="520"/>
        <w:outlineLvl w:val="2"/>
      </w:pPr>
      <w:r>
        <w:rPr>
          <w:rFonts w:ascii="Times New Roman" w:hAnsi="Times New Roman" w:eastAsia="黑体"/>
          <w:b/>
          <w:sz w:val="26"/>
        </w:rPr>
        <w:t>二、管理启示</w:t>
      </w:r>
    </w:p>
    <w:p>
      <w:pPr>
        <w:spacing w:line="400" w:lineRule="exact" w:before="0" w:after="0"/>
        <w:ind w:firstLine="480"/>
        <w:jc w:val="both"/>
      </w:pPr>
      <w:r>
        <w:rPr>
          <w:rFonts w:ascii="Times New Roman" w:hAnsi="Times New Roman" w:eastAsia="宋体"/>
          <w:b w:val="0"/>
          <w:sz w:val="24"/>
        </w:rPr>
        <w:t>基于本研究的发现，对互联网医院的管理实践有以下五点启示。</w:t>
      </w:r>
    </w:p>
    <w:p>
      <w:pPr>
        <w:spacing w:line="400" w:lineRule="exact" w:before="0" w:after="0"/>
        <w:ind w:firstLine="480"/>
        <w:jc w:val="both"/>
      </w:pPr>
      <w:r>
        <w:rPr>
          <w:rFonts w:ascii="Times New Roman" w:hAnsi="Times New Roman" w:eastAsia="宋体"/>
          <w:b w:val="0"/>
          <w:sz w:val="24"/>
        </w:rPr>
        <w:t>第一，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一千余万条事件日志所呈现的流程运行全貌，是任何管理者的个人经验都无法完整把握的。对互联网医院而言，运营数据的收集积累值得提到制度层面，过程分析法一类的诊断工具宜常态化运行，而不是等到问题积压才启动。</w:t>
      </w:r>
    </w:p>
    <w:p>
      <w:pPr>
        <w:spacing w:line="400" w:lineRule="exact" w:before="0" w:after="0"/>
        <w:ind w:firstLine="480"/>
        <w:jc w:val="both"/>
      </w:pPr>
      <w:r>
        <w:rPr>
          <w:rFonts w:ascii="Times New Roman" w:hAnsi="Times New Roman" w:eastAsia="宋体"/>
          <w:b w:val="0"/>
          <w:sz w:val="24"/>
        </w:rPr>
        <w:t>第二，改进路径要遵循“先诊断后开方、先排序后实施”的科学逻辑。流程优化的资源（时间、预算、管理注意力）是有限的，面面俱到的“全面改进”往往导致资源分散、时间紧张、系统可用性风险升高。AHP方法帮助管理者在多个备选改进项中进行系统比较和优先级排序，确保有限的资源集中投入到效果最大化的领域。面对排成一排的改进选项，用AHP或类似的系统化评价方法替代主观拍板，决策本身也更能向团队解释清楚。</w:t>
      </w:r>
    </w:p>
    <w:p>
      <w:pPr>
        <w:spacing w:line="400" w:lineRule="exact" w:before="0" w:after="0"/>
        <w:ind w:firstLine="480"/>
        <w:jc w:val="both"/>
      </w:pPr>
      <w:r>
        <w:rPr>
          <w:rFonts w:ascii="Times New Roman" w:hAnsi="Times New Roman" w:eastAsia="宋体"/>
          <w:b w:val="0"/>
          <w:sz w:val="24"/>
        </w:rPr>
        <w:t>第三，方案设计要追求“系统化”而非“运动式”的改进。无法量化的管理指令（如“加强检查科室的服务意识”、“要求医生提高接诊速度”等）虽然实施起来简单直接，但其效果的持续性和可复制性较差。相比之下，将流程改进嵌入到信息系统的技术架构中，如本研究中的统一检查预约资源池、跨院区主数据管理和实时数据同步，能够让优化后的流程成为系统运行的“默认状态”，效果更为持久和可推广。能靠系统改造固化下来的改进，应优先于靠会议和文件推动的改进——前者停止推动后仍在运行，后者一旦松劲即回潮。</w:t>
      </w:r>
    </w:p>
    <w:p>
      <w:pPr>
        <w:spacing w:line="400" w:lineRule="exact" w:before="0" w:after="0"/>
        <w:ind w:firstLine="480"/>
        <w:jc w:val="both"/>
      </w:pPr>
      <w:r>
        <w:rPr>
          <w:rFonts w:ascii="Times New Roman" w:hAnsi="Times New Roman" w:eastAsia="宋体"/>
          <w:b w:val="0"/>
          <w:sz w:val="24"/>
        </w:rPr>
        <w:t>第四，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患者标识符与药品检查编码体系互不统一、在线问诊接诊时长和处方开具率等执行口径不一致、处方审核耗时波动大（标准差达15.3分钟）等。推进顺序因此应当明确：先逐项统一各院区的数据接口、服务时限与处方审核标准，再谈跨院区的资源调度与协同服务，次序颠倒只会换来返工。</w:t>
      </w:r>
    </w:p>
    <w:p>
      <w:pPr>
        <w:spacing w:line="400" w:lineRule="exact" w:before="0" w:after="0"/>
        <w:ind w:firstLine="480"/>
        <w:jc w:val="both"/>
      </w:pPr>
      <w:r>
        <w:rPr>
          <w:rFonts w:ascii="Times New Roman" w:hAnsi="Times New Roman" w:eastAsia="宋体"/>
          <w:b w:val="0"/>
          <w:sz w:val="24"/>
        </w:rPr>
        <w:t>第五，组织文化上要培育“数据驱动持续改进”的习惯。流程优化不是一次性的项目，而是一种持续的组织能力。本研究提出的“数据诊断→方案调整→效果验证→再优化”的PDCA循环，需要嵌入到组织的日常管理节奏中。把月度流程数据分析会固定下来、对效率指标定期对标和趋势跟踪，是这一习惯在组织里落地的第一步，也是最实在的一步。</w:t>
      </w:r>
    </w:p>
    <w:p>
      <w:pPr>
        <w:spacing w:line="240" w:lineRule="auto" w:before="480" w:after="120"/>
        <w:jc w:val="center"/>
        <w:outlineLvl w:val="1"/>
      </w:pPr>
      <w:r>
        <w:rPr>
          <w:rFonts w:ascii="Times New Roman" w:hAnsi="Times New Roman" w:eastAsia="黑体"/>
          <w:b/>
          <w:sz w:val="28"/>
        </w:rPr>
        <w:t>第三节　研究局限与未来展望</w:t>
      </w:r>
    </w:p>
    <w:p>
      <w:pPr>
        <w:spacing w:line="240" w:lineRule="auto" w:before="240" w:after="120"/>
        <w:ind w:firstLine="520"/>
        <w:outlineLvl w:val="2"/>
      </w:pPr>
      <w:r>
        <w:rPr>
          <w:rFonts w:ascii="Times New Roman" w:hAnsi="Times New Roman" w:eastAsia="黑体"/>
          <w:b/>
          <w:sz w:val="26"/>
        </w:rPr>
        <w:t>一、研究局限</w:t>
      </w:r>
    </w:p>
    <w:p>
      <w:pPr>
        <w:spacing w:line="400" w:lineRule="exact" w:before="0" w:after="0"/>
        <w:ind w:firstLine="480"/>
        <w:jc w:val="both"/>
      </w:pPr>
      <w:r>
        <w:rPr>
          <w:rFonts w:ascii="Times New Roman" w:hAnsi="Times New Roman" w:eastAsia="宋体"/>
          <w:b w:val="0"/>
          <w:sz w:val="24"/>
        </w:rPr>
        <w:t>尽管本研究在方法论和实践应用上取得了一定的成果，但仍存在以下几处局限性。</w:t>
      </w:r>
    </w:p>
    <w:p>
      <w:pPr>
        <w:spacing w:line="400" w:lineRule="exact" w:before="0" w:after="0"/>
        <w:ind w:firstLine="480"/>
        <w:jc w:val="both"/>
      </w:pPr>
      <w:r>
        <w:rPr>
          <w:rFonts w:ascii="Times New Roman" w:hAnsi="Times New Roman" w:eastAsia="宋体"/>
          <w:b w:val="0"/>
          <w:sz w:val="24"/>
        </w:rPr>
        <w:t>局限一：数据完整性。本研究的过程分析法分析依赖于A医药集团统一管理平台的事件日志数据，但这些日志数据主要记录了业务流程中的“可数字化”环节（如问诊申请、处方开具、检查预约等），对于一些“非数字化”的环节（如患者在检查科室的实际等待、药品配送中物流的实际运行状态等），事件日志可能无法提供完整的记录。此外，由于本研究采用的事件日志数据集截至2026年5月，试点验证的后测期（2026年3月至5月）数据在准实验分析中仅覆盖了三个月的短期效果，优化方案的长期效果（如对患者复诊转化率、慢病管理依从性等慢变量的影响）尚需更长时间的追踪数据来验证。</w:t>
      </w:r>
    </w:p>
    <w:p>
      <w:pPr>
        <w:spacing w:line="400" w:lineRule="exact" w:before="0" w:after="0"/>
        <w:ind w:firstLine="480"/>
        <w:jc w:val="both"/>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标杆医院，其技术基础和管理配合度在集团内是最优的，在技术基础较弱的院区推广时可能面临不同的挑战。</w:t>
      </w:r>
    </w:p>
    <w:p>
      <w:pPr>
        <w:spacing w:line="400" w:lineRule="exact" w:before="0" w:after="0"/>
        <w:ind w:firstLine="480"/>
        <w:jc w:val="both"/>
      </w:pPr>
      <w:r>
        <w:rPr>
          <w:rFonts w:ascii="Times New Roman" w:hAnsi="Times New Roman" w:eastAsia="宋体"/>
          <w:b w:val="0"/>
          <w:sz w:val="24"/>
        </w:rPr>
        <w:t>局限三：准实验设计的因果推断。本研究采用准实验的非等组设计，虽然通过双重差分法（DID）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pPr>
        <w:spacing w:line="400" w:lineRule="exact" w:before="0" w:after="0"/>
        <w:ind w:firstLine="480"/>
        <w:jc w:val="both"/>
      </w:pPr>
      <w:r>
        <w:rPr>
          <w:rFonts w:ascii="Times New Roman" w:hAnsi="Times New Roman" w:eastAsia="宋体"/>
          <w:b w:val="0"/>
          <w:sz w:val="24"/>
        </w:rPr>
        <w:t>局限四：AHP判断矩阵的主观性。本研究的AHP判断矩阵中的标度赋值基于研究者的技术判断，虽然在一致性检验中通过了CR &lt; 0.10的标准，但不同评价者（如不同院区的管理者、不同专业的医生）对同一组因素的两两比较可能存在差异。在实际管理应用中，建议通过多专家群体决策的方式来降低单个评价者主观偏差的影响。</w:t>
      </w:r>
    </w:p>
    <w:p>
      <w:pPr>
        <w:spacing w:line="400" w:lineRule="exact" w:before="0" w:after="0"/>
        <w:ind w:firstLine="480"/>
        <w:jc w:val="both"/>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最终的诊疗决策仍需由具有执业资质的医生做出，AI仅作为辅助工具提供参考。在使用AI辅助方法进行研究时，需要充分披露AI的使用边界和局限性。</w:t>
      </w:r>
    </w:p>
    <w:p>
      <w:pPr>
        <w:spacing w:line="240" w:lineRule="auto" w:before="240" w:after="120"/>
        <w:ind w:firstLine="520"/>
        <w:outlineLvl w:val="2"/>
      </w:pPr>
      <w:r>
        <w:rPr>
          <w:rFonts w:ascii="Times New Roman" w:hAnsi="Times New Roman" w:eastAsia="黑体"/>
          <w:b/>
          <w:sz w:val="26"/>
        </w:rPr>
        <w:t>二、未来展望</w:t>
      </w:r>
    </w:p>
    <w:p>
      <w:pPr>
        <w:spacing w:line="400" w:lineRule="exact" w:before="0" w:after="0"/>
        <w:ind w:firstLine="480"/>
        <w:jc w:val="both"/>
      </w:pPr>
      <w:r>
        <w:rPr>
          <w:rFonts w:ascii="Times New Roman" w:hAnsi="Times New Roman" w:eastAsia="宋体"/>
          <w:b w:val="0"/>
          <w:sz w:val="24"/>
        </w:rPr>
        <w:t>基于这些发现和局限性，以下几个方向值得后续继续研究和探索。</w:t>
      </w:r>
    </w:p>
    <w:p>
      <w:pPr>
        <w:spacing w:line="400" w:lineRule="exact" w:before="0" w:after="0"/>
        <w:ind w:firstLine="480"/>
        <w:jc w:val="both"/>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pPr>
        <w:spacing w:line="400" w:lineRule="exact" w:before="0" w:after="0"/>
        <w:ind w:firstLine="480"/>
        <w:jc w:val="both"/>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pPr>
        <w:spacing w:line="400" w:lineRule="exact" w:before="0" w:after="0"/>
        <w:ind w:firstLine="480"/>
        <w:jc w:val="both"/>
      </w:pPr>
      <w:r>
        <w:rPr>
          <w:rFonts w:ascii="Times New Roman" w:hAnsi="Times New Roman" w:eastAsia="宋体"/>
          <w:b w:val="0"/>
          <w:sz w:val="24"/>
        </w:rPr>
        <w:t>方向三：长期效果追踪与ROI评估。未来研究可对优化方案的实施效果进行一年或更长时间窗口的追踪，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pPr>
        <w:spacing w:line="400" w:lineRule="exact" w:before="0" w:after="0"/>
        <w:ind w:firstLine="480"/>
        <w:jc w:val="both"/>
      </w:pPr>
      <w:r>
        <w:rPr>
          <w:rFonts w:ascii="Times New Roman" w:hAnsi="Times New Roman" w:eastAsia="宋体"/>
          <w:b w:val="0"/>
          <w:sz w:val="24"/>
        </w:rPr>
        <w:t>方向四：跨行业方法论迁移。本研究提出的“过程分析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Aalst，2011；Berti等，2019），这为本方法论框架向医疗以外行业的迁移提供了技术可行性基础。跨行业的方法论迁移研究将有助于检验和丰富该方法论框架的外部效度和适用范围。</w:t>
      </w:r>
    </w:p>
    <w:p>
      <w:pPr>
        <w:spacing w:line="400" w:lineRule="exact" w:before="0" w:after="0"/>
        <w:ind w:firstLine="480"/>
        <w:jc w:val="both"/>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在更好的保护患者隐私的前提下实现跨院区的全面数据协同分析。</w:t>
      </w:r>
    </w:p>
    <w:p>
      <w:pPr>
        <w:spacing w:line="400" w:lineRule="exact" w:before="0" w:after="0"/>
        <w:ind w:firstLine="480"/>
        <w:jc w:val="both"/>
      </w:pPr>
      <w:r>
        <w:rPr>
          <w:rFonts w:ascii="Times New Roman" w:hAnsi="Times New Roman" w:eastAsia="宋体"/>
          <w:b w:val="0"/>
          <w:sz w:val="24"/>
        </w:rPr>
        <w:t>总之，互联网医院的服务流程优化是一个理论深度和实践价值兼备的研究领域。本研究以A医药集团为案例，迈出了把数据驱动的流程优化方法用于多院区互联网医院场景的第一步。随着技术的进步，数据资产的积累，管理实践的日益丰富，医疗政策的逐步开放引导，这一领域的研究空间还会继续打开。希望这项研究能起到一点铺路的作用，可以持续推动互联网医院从“建而能用”走向“用而高效”，从而让医疗服务质量、运营效率和患者体验全面提升。</w:t>
      </w:r>
    </w:p>
    <w:p>
      <w:pPr>
        <w:spacing w:line="240" w:lineRule="auto" w:before="480" w:after="360"/>
        <w:jc w:val="center"/>
        <w:outlineLvl w:val="0"/>
      </w:pPr>
      <w:r>
        <w:rPr>
          <w:rFonts w:ascii="Times New Roman" w:hAnsi="Times New Roman" w:eastAsia="黑体"/>
          <w:b/>
          <w:sz w:val="32"/>
        </w:rPr>
        <w:t>参考文献</w:t>
      </w:r>
    </w:p>
    <w:p>
      <w:pPr>
        <w:spacing w:line="320" w:lineRule="exact" w:before="0" w:after="0"/>
        <w:jc w:val="both"/>
      </w:pPr>
      <w:r>
        <w:rPr>
          <w:rFonts w:ascii="Times New Roman" w:hAnsi="Times New Roman" w:eastAsia="宋体"/>
          <w:b w:val="0"/>
          <w:sz w:val="21"/>
        </w:rPr>
        <w:t>中文文献</w:t>
      </w:r>
    </w:p>
    <w:p>
      <w:pPr>
        <w:spacing w:line="320" w:lineRule="exact" w:before="0" w:after="0"/>
        <w:jc w:val="both"/>
      </w:pPr>
      <w:r>
        <w:rPr>
          <w:rFonts w:ascii="Times New Roman" w:hAnsi="Times New Roman" w:eastAsia="宋体"/>
          <w:b w:val="0"/>
          <w:sz w:val="21"/>
        </w:rPr>
        <w:t>[1] 公雪，郭蕊. 我国公立医院互联网诊疗现状及发展思考[J]. 中国医院管理，2025，45(4)：1-5.</w:t>
      </w:r>
    </w:p>
    <w:p>
      <w:pPr>
        <w:spacing w:line="320" w:lineRule="exact" w:before="0" w:after="0"/>
        <w:jc w:val="both"/>
      </w:pPr>
      <w:r>
        <w:rPr>
          <w:rFonts w:ascii="Times New Roman" w:hAnsi="Times New Roman" w:eastAsia="宋体"/>
          <w:b w:val="0"/>
          <w:sz w:val="21"/>
        </w:rPr>
        <w:t>[2] 靳巍巍，黄晓冉，喻雅兰，等. 医疗集团全面质量管理体系信息化建设与应用[J]. 中国卫生质量管理，2025，32(4)：56-59.</w:t>
      </w:r>
    </w:p>
    <w:p>
      <w:pPr>
        <w:spacing w:line="320" w:lineRule="exact" w:before="0" w:after="0"/>
        <w:jc w:val="both"/>
      </w:pPr>
      <w:r>
        <w:rPr>
          <w:rFonts w:ascii="Times New Roman" w:hAnsi="Times New Roman" w:eastAsia="宋体"/>
          <w:b w:val="0"/>
          <w:sz w:val="21"/>
        </w:rPr>
        <w:t>[3] 李皓月，高铂雯，张敏，等. 美国凯撒医疗集团慢性病管理模式对我国县域医疗卫生共同体建设的启示[J]. 医学与社会，2025，38(7)：17-22.</w:t>
      </w:r>
    </w:p>
    <w:p>
      <w:pPr>
        <w:spacing w:line="320" w:lineRule="exact" w:before="0" w:after="0"/>
        <w:jc w:val="both"/>
      </w:pPr>
      <w:r>
        <w:rPr>
          <w:rFonts w:ascii="Times New Roman" w:hAnsi="Times New Roman" w:eastAsia="宋体"/>
          <w:b w:val="0"/>
          <w:sz w:val="21"/>
        </w:rPr>
        <w:t>[4] 李哲，任亮. 基于共生模式的国家级试点区域紧密型城市医疗集团发展探索与研究[J]. 中国卫生产业，2025(21)：247-251.</w:t>
      </w:r>
    </w:p>
    <w:p>
      <w:pPr>
        <w:spacing w:line="320" w:lineRule="exact" w:before="0" w:after="0"/>
        <w:jc w:val="both"/>
      </w:pPr>
      <w:r>
        <w:rPr>
          <w:rFonts w:ascii="Times New Roman" w:hAnsi="Times New Roman" w:eastAsia="宋体"/>
          <w:b w:val="0"/>
          <w:sz w:val="21"/>
        </w:rPr>
        <w:t>[5] 牛雨婷，赵允伍，王晓松，等. 基于协同视角下的城市医疗集团高质量发展挑战与思考[J]. 中国医院，2024，28(1)：19-22.</w:t>
      </w:r>
    </w:p>
    <w:p>
      <w:pPr>
        <w:spacing w:line="320" w:lineRule="exact" w:before="0" w:after="0"/>
        <w:jc w:val="both"/>
      </w:pPr>
      <w:r>
        <w:rPr>
          <w:rFonts w:ascii="Times New Roman" w:hAnsi="Times New Roman" w:eastAsia="宋体"/>
          <w:b w:val="0"/>
          <w:sz w:val="21"/>
        </w:rPr>
        <w:t>[6] 钱海章，肖婧舒，李思成，等. 数字化转型与企业创新——来自中国生物医药行业的证据[J]. 产业经济研究，2024(5)：114-127.</w:t>
      </w:r>
    </w:p>
    <w:p>
      <w:pPr>
        <w:spacing w:line="320" w:lineRule="exact" w:before="0" w:after="0"/>
        <w:jc w:val="both"/>
      </w:pPr>
      <w:r>
        <w:rPr>
          <w:rFonts w:ascii="Times New Roman" w:hAnsi="Times New Roman" w:eastAsia="宋体"/>
          <w:b w:val="0"/>
          <w:sz w:val="21"/>
        </w:rPr>
        <w:t>[7] 谭华伟，彭馨怡，姚辉，等. 中国紧密型城市医疗集团建设：典型模式、关键问题与路径优化[J]. 中国卫生政策研究，2024，17(1)：9-16.</w:t>
      </w:r>
    </w:p>
    <w:p>
      <w:pPr>
        <w:spacing w:line="320" w:lineRule="exact" w:before="0" w:after="0"/>
        <w:jc w:val="both"/>
      </w:pPr>
      <w:r>
        <w:rPr>
          <w:rFonts w:ascii="Times New Roman" w:hAnsi="Times New Roman" w:eastAsia="宋体"/>
          <w:b w:val="0"/>
          <w:sz w:val="21"/>
        </w:rPr>
        <w:t>[8] 杨善林，丁帅，顾东晓，等. 医联网：新时代医疗健康模式变革与创新发展[J]. 管理科学学报，2021，24(10)：1-11.</w:t>
      </w:r>
    </w:p>
    <w:p>
      <w:pPr>
        <w:spacing w:line="320" w:lineRule="exact" w:before="0" w:after="0"/>
        <w:jc w:val="both"/>
      </w:pPr>
      <w:r>
        <w:rPr>
          <w:rFonts w:ascii="Times New Roman" w:hAnsi="Times New Roman" w:eastAsia="宋体"/>
          <w:b w:val="0"/>
          <w:sz w:val="21"/>
        </w:rPr>
        <w:t>[9] 姚瑶，崔宇杰，栾伟，等. 医疗卫生数字化转型：挑战、策略与未来展望[J]. 中国卫生经济，2025，44(1)：5-10.</w:t>
      </w:r>
    </w:p>
    <w:p>
      <w:pPr>
        <w:spacing w:line="320" w:lineRule="exact" w:before="0" w:after="0"/>
        <w:jc w:val="both"/>
      </w:pPr>
      <w:r>
        <w:rPr>
          <w:rFonts w:ascii="Times New Roman" w:hAnsi="Times New Roman" w:eastAsia="宋体"/>
          <w:b w:val="0"/>
          <w:sz w:val="21"/>
        </w:rPr>
        <w:t>[10] 张宇希，胡建平. 数字化转型驱动数字健康发展思考[J]. 中国卫生信息管理杂志，2024，21(1)：1-6.</w:t>
      </w:r>
    </w:p>
    <w:p>
      <w:pPr>
        <w:spacing w:line="320" w:lineRule="exact" w:before="0" w:after="0"/>
        <w:jc w:val="both"/>
      </w:pPr>
      <w:r>
        <w:rPr>
          <w:rFonts w:ascii="Times New Roman" w:hAnsi="Times New Roman" w:eastAsia="宋体"/>
          <w:b w:val="0"/>
          <w:sz w:val="21"/>
        </w:rPr>
        <w:t>[11] 范一丁，余筱卉，师庆科，等. AI识别技术与“互联网+”融合的智慧护理服务创新模式[J]. 中国数字医学，2025，20(11)：103-108.</w:t>
      </w:r>
    </w:p>
    <w:p>
      <w:pPr>
        <w:spacing w:line="320" w:lineRule="exact" w:before="0" w:after="0"/>
        <w:jc w:val="both"/>
      </w:pPr>
      <w:r>
        <w:rPr>
          <w:rFonts w:ascii="Times New Roman" w:hAnsi="Times New Roman" w:eastAsia="宋体"/>
          <w:b w:val="0"/>
          <w:sz w:val="21"/>
        </w:rPr>
        <w:t>[12] 国务院办公厅. 关于促进“互联网+医疗健康”发展的意见[Z]. 国办发〔2018〕26号，2018.</w:t>
      </w:r>
    </w:p>
    <w:p>
      <w:pPr>
        <w:spacing w:line="320" w:lineRule="exact" w:before="0" w:after="0"/>
        <w:jc w:val="both"/>
      </w:pPr>
      <w:r>
        <w:rPr>
          <w:rFonts w:ascii="Times New Roman" w:hAnsi="Times New Roman" w:eastAsia="宋体"/>
          <w:b w:val="0"/>
          <w:sz w:val="21"/>
        </w:rPr>
        <w:t>[13] 国务院办公厅. 关于推动公立医院高质量发展的意见[Z]. 国办发〔2021〕18号，2021.</w:t>
      </w:r>
    </w:p>
    <w:p>
      <w:pPr>
        <w:spacing w:line="320" w:lineRule="exact" w:before="0" w:after="0"/>
        <w:jc w:val="both"/>
      </w:pPr>
      <w:r>
        <w:rPr>
          <w:rFonts w:ascii="Times New Roman" w:hAnsi="Times New Roman" w:eastAsia="宋体"/>
          <w:b w:val="0"/>
          <w:sz w:val="21"/>
        </w:rPr>
        <w:t>[14] 国家卫生健康委员会. 互联网医院管理办法（试行）[Z]. 国卫医发〔2018〕25号，2018.</w:t>
      </w:r>
    </w:p>
    <w:p>
      <w:pPr>
        <w:spacing w:line="320" w:lineRule="exact" w:before="0" w:after="0"/>
        <w:jc w:val="both"/>
      </w:pPr>
      <w:r>
        <w:rPr>
          <w:rFonts w:ascii="Times New Roman" w:hAnsi="Times New Roman" w:eastAsia="宋体"/>
          <w:b w:val="0"/>
          <w:sz w:val="21"/>
        </w:rPr>
        <w:t>[15] 国家医疗保障局. 关于完善“互联网+”医疗服务价格和医保支付政策的指导意见[Z]. 医保发〔2019〕47号，2019.</w:t>
      </w:r>
    </w:p>
    <w:p>
      <w:pPr>
        <w:spacing w:line="320" w:lineRule="exact" w:before="0" w:after="0"/>
        <w:jc w:val="both"/>
      </w:pPr>
      <w:r>
        <w:rPr>
          <w:rFonts w:ascii="Times New Roman" w:hAnsi="Times New Roman" w:eastAsia="宋体"/>
          <w:b w:val="0"/>
          <w:sz w:val="21"/>
        </w:rPr>
        <w:t>[16] 国家医疗保障局. 关于建立完善国家医保谈判药品“双通道”管理机制的指导意见[Z]. 医保发〔2021〕28号，2021.</w:t>
      </w:r>
    </w:p>
    <w:p>
      <w:pPr>
        <w:spacing w:line="320" w:lineRule="exact" w:before="0" w:after="0"/>
        <w:jc w:val="both"/>
      </w:pPr>
      <w:r>
        <w:rPr>
          <w:rFonts w:ascii="Times New Roman" w:hAnsi="Times New Roman" w:eastAsia="宋体"/>
          <w:b w:val="0"/>
          <w:sz w:val="21"/>
        </w:rPr>
        <w:t>[17] 国家医疗保障局. DRG/DIP支付方式改革三年行动计划[Z]. 医保发〔2021〕48号，2021.</w:t>
      </w:r>
    </w:p>
    <w:p>
      <w:pPr>
        <w:spacing w:line="320" w:lineRule="exact" w:before="0" w:after="0"/>
        <w:jc w:val="both"/>
      </w:pPr>
      <w:r>
        <w:rPr>
          <w:rFonts w:ascii="Times New Roman" w:hAnsi="Times New Roman" w:eastAsia="宋体"/>
          <w:b w:val="0"/>
          <w:sz w:val="21"/>
        </w:rPr>
        <w:t>[18] 国家医疗保障局办公室. 关于规范医保药品外配处方管理的通知[Z]. 医保办函〔2024〕86号，2024.</w:t>
      </w:r>
    </w:p>
    <w:p>
      <w:pPr>
        <w:spacing w:line="320" w:lineRule="exact" w:before="0" w:after="0"/>
        <w:jc w:val="both"/>
      </w:pPr>
      <w:r>
        <w:rPr>
          <w:rFonts w:ascii="Times New Roman" w:hAnsi="Times New Roman" w:eastAsia="宋体"/>
          <w:b w:val="0"/>
          <w:sz w:val="21"/>
        </w:rPr>
        <w:t>英文文献</w:t>
      </w:r>
    </w:p>
    <w:p>
      <w:pPr>
        <w:spacing w:line="320" w:lineRule="exact" w:before="0" w:after="0"/>
        <w:jc w:val="both"/>
      </w:pPr>
      <w:r>
        <w:rPr>
          <w:rFonts w:ascii="Times New Roman" w:hAnsi="Times New Roman" w:eastAsia="宋体"/>
          <w:b w:val="0"/>
          <w:sz w:val="21"/>
        </w:rPr>
        <w:t>[1] Berti A, van Zelst S, van der Aalst W M P. Process Mining for Python (PM4Py): Bridging the Gap Between Process- and Data Science[C]//BPM 2019 Demo Track, CEUR Workshop Proceedings, Vol. 2374. 2019: 13-16.</w:t>
      </w:r>
    </w:p>
    <w:p>
      <w:pPr>
        <w:spacing w:line="320" w:lineRule="exact" w:before="0" w:after="0"/>
        <w:jc w:val="both"/>
      </w:pPr>
      <w:r>
        <w:rPr>
          <w:rFonts w:ascii="Times New Roman" w:hAnsi="Times New Roman" w:eastAsia="宋体"/>
          <w:b w:val="0"/>
          <w:sz w:val="21"/>
        </w:rPr>
        <w:t>[2] Bitner M J, Ostrom A L, Morgan F N. Service Blueprinting: A Practical Technique for Service Innovation[J]. California Management Review, 2008, 50(3): 66-94.</w:t>
      </w:r>
    </w:p>
    <w:p>
      <w:pPr>
        <w:spacing w:line="320" w:lineRule="exact" w:before="0" w:after="0"/>
        <w:jc w:val="both"/>
      </w:pPr>
      <w:r>
        <w:rPr>
          <w:rFonts w:ascii="Times New Roman" w:hAnsi="Times New Roman" w:eastAsia="宋体"/>
          <w:b w:val="0"/>
          <w:sz w:val="21"/>
        </w:rPr>
        <w:t>[3] Chen X, Wu X, Zhang Q, et al. The Construction and Operational Models of Internet Hospitals in China: A Hospital-Based Survey[J]. BMC Health Services Research, 2023, 23: 657.</w:t>
      </w:r>
    </w:p>
    <w:p>
      <w:pPr>
        <w:spacing w:line="320" w:lineRule="exact" w:before="0" w:after="0"/>
        <w:jc w:val="both"/>
      </w:pPr>
      <w:r>
        <w:rPr>
          <w:rFonts w:ascii="Times New Roman" w:hAnsi="Times New Roman" w:eastAsia="宋体"/>
          <w:b w:val="0"/>
          <w:sz w:val="21"/>
        </w:rPr>
        <w:t>[4] Davari F, Nasr Isfahani I, Atighechian A, et al. Optimizing Emergency Department Efficiency: A Comparative Analysis of Process Mining and Simulation Models to Mitigate Overcrowding and Waiting Times[J]. BMC Medical Informatics and Decision Making, 2024, 24: 292.</w:t>
      </w:r>
    </w:p>
    <w:p>
      <w:pPr>
        <w:spacing w:line="320" w:lineRule="exact" w:before="0" w:after="0"/>
        <w:jc w:val="both"/>
      </w:pPr>
      <w:r>
        <w:rPr>
          <w:rFonts w:ascii="Times New Roman" w:hAnsi="Times New Roman" w:eastAsia="宋体"/>
          <w:b w:val="0"/>
          <w:sz w:val="21"/>
        </w:rPr>
        <w:t>[5] Goodwin N. Understanding Integrated Care[J]. International Journal of Integrated Care, 2016, 16(4): 6.</w:t>
      </w:r>
    </w:p>
    <w:p>
      <w:pPr>
        <w:spacing w:line="320" w:lineRule="exact" w:before="0" w:after="0"/>
        <w:jc w:val="both"/>
      </w:pPr>
      <w:r>
        <w:rPr>
          <w:rFonts w:ascii="Times New Roman" w:hAnsi="Times New Roman" w:eastAsia="宋体"/>
          <w:b w:val="0"/>
          <w:sz w:val="21"/>
        </w:rPr>
        <w:t>[6] Hammer M, Champy J. Reengineering the Corporation: A Manifesto for Business Revolution[M]. New York: Harper Business, 1993.</w:t>
      </w:r>
    </w:p>
    <w:p>
      <w:pPr>
        <w:spacing w:line="320" w:lineRule="exact" w:before="0" w:after="0"/>
        <w:jc w:val="both"/>
      </w:pPr>
      <w:r>
        <w:rPr>
          <w:rFonts w:ascii="Times New Roman" w:hAnsi="Times New Roman" w:eastAsia="宋体"/>
          <w:b w:val="0"/>
          <w:sz w:val="21"/>
        </w:rPr>
        <w:t>[7] Han T, Wei Q, Wang R, et al. Service Quality and Patient Satisfaction of Internet Hospitals in China: Cross-Sectional Evaluation Study[J]. Journal of Medical Internet Research, 2024, 26: e55140.</w:t>
      </w:r>
    </w:p>
    <w:p>
      <w:pPr>
        <w:spacing w:line="320" w:lineRule="exact" w:before="0" w:after="0"/>
        <w:jc w:val="both"/>
      </w:pPr>
      <w:r>
        <w:rPr>
          <w:rFonts w:ascii="Times New Roman" w:hAnsi="Times New Roman" w:eastAsia="宋体"/>
          <w:b w:val="0"/>
          <w:sz w:val="21"/>
        </w:rPr>
        <w:t>[8] Henrique D B, Rentes A F, Godinho Filho M, et al. A New Value Stream Mapping Approach for Healthcare Environments[J]. Production Planning &amp; Control, 2016, 27(1): 24-48.</w:t>
      </w:r>
    </w:p>
    <w:p>
      <w:pPr>
        <w:spacing w:line="320" w:lineRule="exact" w:before="0" w:after="0"/>
        <w:jc w:val="both"/>
      </w:pPr>
      <w:r>
        <w:rPr>
          <w:rFonts w:ascii="Times New Roman" w:hAnsi="Times New Roman" w:eastAsia="宋体"/>
          <w:b w:val="0"/>
          <w:sz w:val="21"/>
        </w:rPr>
        <w:t>[9] Kodner D L, Spreeuwenberg C. Integrated care: meaning, logic, applications, and implications – a discussion paper[J]. International Journal of Integrated Care, 2002, 2(4): 67.</w:t>
      </w:r>
    </w:p>
    <w:p>
      <w:pPr>
        <w:spacing w:line="320" w:lineRule="exact" w:before="0" w:after="0"/>
        <w:jc w:val="both"/>
      </w:pPr>
      <w:r>
        <w:rPr>
          <w:rFonts w:ascii="Times New Roman" w:hAnsi="Times New Roman" w:eastAsia="宋体"/>
          <w:b w:val="0"/>
          <w:sz w:val="21"/>
        </w:rPr>
        <w:t>[10] Kraus S, Schiavone F, Pluzhnikova A, et al. Digital Transformation in Healthcare: Analyzing the Current State-of-Research[J]. Journal of Business Research, 2021, 123: 557-567.</w:t>
      </w:r>
    </w:p>
    <w:p>
      <w:pPr>
        <w:spacing w:line="320" w:lineRule="exact" w:before="0" w:after="0"/>
        <w:jc w:val="both"/>
      </w:pPr>
      <w:r>
        <w:rPr>
          <w:rFonts w:ascii="Times New Roman" w:hAnsi="Times New Roman" w:eastAsia="宋体"/>
          <w:b w:val="0"/>
          <w:sz w:val="21"/>
        </w:rPr>
        <w:t>[11] Marques I C P, Ferreira J J M. Digital Transformation in the Area of Health: Systematic Review of 45 Years of Evolution[J]. Health and Technology, 2020, 10(3): 575-586.</w:t>
      </w:r>
    </w:p>
    <w:p>
      <w:pPr>
        <w:spacing w:line="320" w:lineRule="exact" w:before="0" w:after="0"/>
        <w:jc w:val="both"/>
      </w:pPr>
      <w:r>
        <w:rPr>
          <w:rFonts w:ascii="Times New Roman" w:hAnsi="Times New Roman" w:eastAsia="宋体"/>
          <w:b w:val="0"/>
          <w:sz w:val="21"/>
        </w:rPr>
        <w:t>[12] Reis J, Amorim M, Melão N, et al. Digital Transformation: A Literature Review and Guidelines for Future Research[C]//Trends and Advances in Information Systems and Technologies, Advances in Intelligent Systems and Computing. Cham: Springer, 2018: 411-421.</w:t>
      </w:r>
    </w:p>
    <w:p>
      <w:pPr>
        <w:spacing w:line="320" w:lineRule="exact" w:before="0" w:after="0"/>
        <w:jc w:val="both"/>
      </w:pPr>
      <w:r>
        <w:rPr>
          <w:rFonts w:ascii="Times New Roman" w:hAnsi="Times New Roman" w:eastAsia="宋体"/>
          <w:b w:val="0"/>
          <w:sz w:val="21"/>
        </w:rPr>
        <w:t>[13] Rojas E, Munoz-Gama J, Sepulveda M, et al. Process Mining in Healthcare: A Literature Review[J]. Journal of Biomedical Informatics, 2016, 61: 224-236.</w:t>
      </w:r>
    </w:p>
    <w:p>
      <w:pPr>
        <w:spacing w:line="320" w:lineRule="exact" w:before="0" w:after="0"/>
        <w:jc w:val="both"/>
      </w:pPr>
      <w:r>
        <w:rPr>
          <w:rFonts w:ascii="Times New Roman" w:hAnsi="Times New Roman" w:eastAsia="宋体"/>
          <w:b w:val="0"/>
          <w:sz w:val="21"/>
        </w:rPr>
        <w:t>[14] Saaty T L. The Analytic Hierarchy Process: Planning, Priority Setting, Resource Allocation[M]. New York: McGraw-Hill, 1980.</w:t>
      </w:r>
    </w:p>
    <w:p>
      <w:pPr>
        <w:spacing w:line="320" w:lineRule="exact" w:before="0" w:after="0"/>
        <w:jc w:val="both"/>
      </w:pPr>
      <w:r>
        <w:rPr>
          <w:rFonts w:ascii="Times New Roman" w:hAnsi="Times New Roman" w:eastAsia="宋体"/>
          <w:b w:val="0"/>
          <w:sz w:val="21"/>
        </w:rPr>
        <w:t>[15] Samanta A K, Varaprasad G, Gurumurthy A. Implementing Lean Six Sigma in Health Care: A Review of Case Studies[J]. International Journal of Lean Six Sigma, 2023, 14(1): 158-189.</w:t>
      </w:r>
    </w:p>
    <w:p>
      <w:pPr>
        <w:spacing w:line="320" w:lineRule="exact" w:before="0" w:after="0"/>
        <w:jc w:val="both"/>
      </w:pPr>
      <w:r>
        <w:rPr>
          <w:rFonts w:ascii="Times New Roman" w:hAnsi="Times New Roman" w:eastAsia="宋体"/>
          <w:b w:val="0"/>
          <w:sz w:val="21"/>
        </w:rPr>
        <w:t>[16] Shadish W R, Cook T D, Campbell D T. Experimental and Quasi-Experimental Designs for Generalized Causal Inference[M]. Boston: Houghton Mifflin, 2002.</w:t>
      </w:r>
    </w:p>
    <w:p>
      <w:pPr>
        <w:spacing w:line="320" w:lineRule="exact" w:before="0" w:after="0"/>
        <w:jc w:val="both"/>
      </w:pPr>
      <w:r>
        <w:rPr>
          <w:rFonts w:ascii="Times New Roman" w:hAnsi="Times New Roman" w:eastAsia="宋体"/>
          <w:b w:val="0"/>
          <w:sz w:val="21"/>
        </w:rPr>
        <w:t>[17] Shostack G L. Designing Services That Deliver[J]. Harvard Business Review, 1984, 62(1): 133-139.</w:t>
      </w:r>
    </w:p>
    <w:p>
      <w:pPr>
        <w:spacing w:line="320" w:lineRule="exact" w:before="0" w:after="0"/>
        <w:jc w:val="both"/>
      </w:pPr>
      <w:r>
        <w:rPr>
          <w:rFonts w:ascii="Times New Roman" w:hAnsi="Times New Roman" w:eastAsia="宋体"/>
          <w:b w:val="0"/>
          <w:sz w:val="21"/>
        </w:rPr>
        <w:t>[18] Van der Aalst W M P. Process Mining: Discovery, Conformance and Enhancement of Business Processes[M]. Berlin: Springer, 2011.</w:t>
      </w:r>
    </w:p>
    <w:p>
      <w:pPr>
        <w:spacing w:line="320" w:lineRule="exact" w:before="0" w:after="0"/>
        <w:jc w:val="both"/>
      </w:pPr>
      <w:r>
        <w:rPr>
          <w:rFonts w:ascii="Times New Roman" w:hAnsi="Times New Roman" w:eastAsia="宋体"/>
          <w:b w:val="0"/>
          <w:sz w:val="21"/>
        </w:rPr>
        <w:t>[19] Voorheis P, Wong J V, Lazarevic N, et al. Using Journey Mapping and Service Blueprinting to Design Digital Health Behavior Change Innovations: A Scoping Review[J]. Journal of Diabetes Science and Technology, 2025, 19(5): 1196-1214.</w:t>
      </w:r>
    </w:p>
    <w:p>
      <w:pPr>
        <w:spacing w:line="320" w:lineRule="exact" w:before="0" w:after="0"/>
        <w:jc w:val="both"/>
      </w:pPr>
      <w:r>
        <w:rPr>
          <w:rFonts w:ascii="Times New Roman" w:hAnsi="Times New Roman" w:eastAsia="宋体"/>
          <w:b w:val="0"/>
          <w:sz w:val="21"/>
        </w:rPr>
        <w:t>[20] Wu D, Zhao X, Wu J. Online Physician-Patient Interaction and Patient Satisfaction: Empirical Study of the Internet Hospital Service[J]. Journal of Medical Internet Research, 2023, 25: e39089.</w:t>
      </w:r>
    </w:p>
    <w:p>
      <w:pPr>
        <w:spacing w:line="320" w:lineRule="exact" w:before="0" w:after="0"/>
        <w:jc w:val="both"/>
      </w:pPr>
      <w:r>
        <w:rPr>
          <w:rFonts w:ascii="Times New Roman" w:hAnsi="Times New Roman" w:eastAsia="宋体"/>
          <w:b w:val="0"/>
          <w:sz w:val="21"/>
        </w:rPr>
        <w:t>[21] Zhang G, Li B, Gu Z, et al. In-Depth Examination of the Functionality and Performance of the Internet Hospital Information Platform: Development and Usability Study[J]. Journal of Medical Internet Research, 2024, 26: e54018.</w:t>
      </w:r>
    </w:p>
    <w:p>
      <w:pPr>
        <w:spacing w:line="240" w:lineRule="auto" w:before="480" w:after="360"/>
        <w:jc w:val="center"/>
        <w:outlineLvl w:val="0"/>
      </w:pPr>
      <w:r>
        <w:rPr>
          <w:rFonts w:ascii="Times New Roman" w:hAnsi="Times New Roman" w:eastAsia="黑体"/>
          <w:b/>
          <w:sz w:val="32"/>
        </w:rPr>
        <w:t>致谢</w:t>
      </w:r>
    </w:p>
    <w:p>
      <w:pPr>
        <w:spacing w:line="320" w:lineRule="exact" w:before="0" w:after="0"/>
        <w:jc w:val="both"/>
      </w:pPr>
      <w:r>
        <w:rPr>
          <w:rFonts w:ascii="Times New Roman" w:hAnsi="Times New Roman" w:eastAsia="仿宋"/>
          <w:b w:val="0"/>
          <w:sz w:val="24"/>
        </w:rPr>
        <w:t>两年半的MBA学业不觉已近尾声。回头看这篇论文的整个过程，从选题构思、数据收集、方法论证，再到一遍遍的文稿修改，每一步都离不开老师、同学与家人的支持与帮助。</w:t>
      </w:r>
    </w:p>
    <w:p>
      <w:pPr>
        <w:spacing w:line="320" w:lineRule="exact" w:before="0" w:after="0"/>
        <w:jc w:val="both"/>
      </w:pPr>
      <w:r>
        <w:rPr>
          <w:rFonts w:ascii="Times New Roman" w:hAnsi="Times New Roman" w:eastAsia="仿宋"/>
          <w:b w:val="0"/>
          <w:sz w:val="24"/>
        </w:rPr>
        <w:t>首先，最想感谢的是校内导师王谦教授。从论文选题的确定到研究框架的设计，从方法论的把关到文字表述的推敲，王谦教授都给予了悉心的指导和耐心的点拨，他严谨的治学态度、深厚的学术造诣和对学生高度负责的精神，使我在论文写作过程中受益匪浅，也将持续影响我今后的学习与工作。</w:t>
      </w:r>
    </w:p>
    <w:p>
      <w:pPr>
        <w:spacing w:line="320" w:lineRule="exact" w:before="0" w:after="0"/>
        <w:jc w:val="both"/>
      </w:pPr>
      <w:r>
        <w:rPr>
          <w:rFonts w:ascii="Times New Roman" w:hAnsi="Times New Roman" w:eastAsia="仿宋"/>
          <w:b w:val="0"/>
          <w:sz w:val="24"/>
        </w:rPr>
        <w:t>同时，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pPr>
        <w:spacing w:line="320" w:lineRule="exact" w:before="0" w:after="0"/>
        <w:jc w:val="both"/>
      </w:pPr>
      <w:r>
        <w:rPr>
          <w:rFonts w:ascii="Times New Roman" w:hAnsi="Times New Roman" w:eastAsia="仿宋"/>
          <w:b w:val="0"/>
          <w:sz w:val="24"/>
        </w:rPr>
        <w:t>感谢南开大学商学院的各位授课老师在MBA课程学习期间给予我的教导，系统的管理知识训练为本论文的完成奠定了坚实的基础。感谢参与论文开题与预答辩期间的各位专家老师提出的中肯意见，这些意见对完善本文的研究设计起到了重要作用。感谢同窗好友在学习期间的相互鼓励与帮助。</w:t>
      </w:r>
    </w:p>
    <w:p>
      <w:pPr>
        <w:spacing w:line="320" w:lineRule="exact" w:before="0" w:after="0"/>
        <w:jc w:val="both"/>
      </w:pPr>
      <w:r>
        <w:rPr>
          <w:rFonts w:ascii="Times New Roman" w:hAnsi="Times New Roman" w:eastAsia="仿宋"/>
          <w:b w:val="0"/>
          <w:sz w:val="24"/>
        </w:rPr>
        <w:t>感谢A医药集团及互联网医院平台的各位同事在工作与调研过程中给予的理解和支持，为本文的数据获取与试点实施提供了必要条件。</w:t>
      </w:r>
    </w:p>
    <w:p>
      <w:pPr>
        <w:spacing w:line="320" w:lineRule="exact" w:before="0" w:after="0"/>
        <w:jc w:val="both"/>
      </w:pPr>
      <w:r>
        <w:rPr>
          <w:rFonts w:ascii="Times New Roman" w:hAnsi="Times New Roman" w:eastAsia="仿宋"/>
          <w:b w:val="0"/>
          <w:sz w:val="24"/>
        </w:rPr>
        <w:t>最后，还要特别感谢我的家人。兼顾工作、学业与家庭的这段日子，是她们的包容、理解、支持与鼓励，使得我一直拥有向前的动力。</w:t>
      </w:r>
    </w:p>
    <w:p>
      <w:pPr>
        <w:spacing w:line="320" w:lineRule="exact" w:before="0" w:after="0"/>
        <w:jc w:val="both"/>
      </w:pPr>
      <w:r>
        <w:rPr>
          <w:rFonts w:ascii="Times New Roman" w:hAnsi="Times New Roman" w:eastAsia="仿宋"/>
          <w:b w:val="0"/>
          <w:sz w:val="24"/>
        </w:rPr>
        <w:t>由于本人学识有限，论文中难免存在疏漏与不足之处，恳请各位专家老师批评指正。</w:t>
      </w:r>
    </w:p>
    <w:sectPr w:rsidR="00FC693F" w:rsidRPr="0006063C" w:rsidSect="00034616">
      <w:headerReference w:type="default" r:id="rId9"/>
      <w:footerReference w:type="default" r:id="rId10"/>
      <w:pgSz w:w="12240" w:h="15840"/>
      <w:pgMar w:top="2154" w:right="1814" w:bottom="2154" w:left="1814" w:header="1701" w:footer="170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sz w:val="2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00" w:lineRule="exact" w:before="0" w:after="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